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688590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688590"/>
                          <a:chExt cx="7315200" cy="2688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688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719072"/>
                            <a:ext cx="7315200" cy="69532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02"/>
                                <w:ind w:left="452" w:right="0" w:firstLine="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contingency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provisions?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them?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11.7pt;mso-position-horizontal-relative:char;mso-position-vertical-relative:line" id="docshapegroup1" coordorigin="0,0" coordsize="11520,4234">
                <v:shape style="position:absolute;left:0;top:0;width:11520;height:4234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707;width:11520;height:1095" type="#_x0000_t202" id="docshape3" filled="true" fillcolor="#d2232a" stroked="false">
                  <v:textbox inset="0,0,0,0">
                    <w:txbxContent>
                      <w:p>
                        <w:pPr>
                          <w:spacing w:before="302"/>
                          <w:ind w:left="452" w:right="0" w:firstLine="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are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contingency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provisions?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4"/>
                          </w:rPr>
                          <w:t>them?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line="244" w:lineRule="auto" w:before="98"/>
        <w:ind w:left="459" w:right="1" w:firstLine="67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26535</wp:posOffset>
                </wp:positionV>
                <wp:extent cx="339090" cy="3587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39090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0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.089395pt;width:26.7pt;height:28.25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564" w:lineRule="exact" w:before="0"/>
                        <w:ind w:left="0" w:right="0" w:firstLine="0"/>
                        <w:jc w:val="lef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0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</w:rPr>
        <w:t>Contingency provisions </w:t>
      </w:r>
      <w:r>
        <w:rPr>
          <w:color w:val="231F20"/>
        </w:rPr>
        <w:t>describe an event, activity or condition which needs to occur before the purchase agreement transaction can proceed toward closing. On the</w:t>
      </w:r>
      <w:r>
        <w:rPr>
          <w:color w:val="231F20"/>
          <w:spacing w:val="80"/>
        </w:rPr>
        <w:t> </w:t>
      </w:r>
      <w:r>
        <w:rPr>
          <w:color w:val="231F20"/>
        </w:rPr>
        <w:t>occurrence of the event or approval of information described 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contingency</w:t>
      </w:r>
      <w:r>
        <w:rPr>
          <w:color w:val="231F20"/>
          <w:spacing w:val="-3"/>
        </w:rPr>
        <w:t> </w:t>
      </w:r>
      <w:r>
        <w:rPr>
          <w:color w:val="231F20"/>
        </w:rPr>
        <w:t>provision,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contingency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satisfied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no</w:t>
      </w:r>
      <w:r>
        <w:rPr>
          <w:color w:val="231F20"/>
          <w:spacing w:val="55"/>
        </w:rPr>
        <w:t> </w:t>
      </w:r>
      <w:r>
        <w:rPr>
          <w:color w:val="231F20"/>
        </w:rPr>
        <w:t>longer</w:t>
      </w:r>
      <w:r>
        <w:rPr>
          <w:color w:val="231F20"/>
          <w:spacing w:val="55"/>
        </w:rPr>
        <w:t> </w:t>
      </w:r>
      <w:r>
        <w:rPr>
          <w:color w:val="231F20"/>
        </w:rPr>
        <w:t>an</w:t>
      </w:r>
      <w:r>
        <w:rPr>
          <w:color w:val="231F20"/>
          <w:spacing w:val="55"/>
        </w:rPr>
        <w:t> </w:t>
      </w:r>
      <w:r>
        <w:rPr>
          <w:color w:val="231F20"/>
        </w:rPr>
        <w:t>obstacle</w:t>
      </w:r>
      <w:r>
        <w:rPr>
          <w:color w:val="231F20"/>
          <w:spacing w:val="56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further</w:t>
      </w:r>
      <w:r>
        <w:rPr>
          <w:color w:val="231F20"/>
          <w:spacing w:val="55"/>
        </w:rPr>
        <w:t> </w:t>
      </w:r>
      <w:r>
        <w:rPr>
          <w:color w:val="231F20"/>
        </w:rPr>
        <w:t>performance</w:t>
      </w:r>
      <w:r>
        <w:rPr>
          <w:color w:val="231F20"/>
          <w:spacing w:val="55"/>
        </w:rPr>
        <w:t> </w:t>
      </w:r>
      <w:r>
        <w:rPr>
          <w:color w:val="231F20"/>
          <w:spacing w:val="-5"/>
        </w:rPr>
        <w:t>and</w:t>
      </w:r>
    </w:p>
    <w:p>
      <w:pPr>
        <w:pStyle w:val="BodyText"/>
        <w:spacing w:before="1"/>
        <w:ind w:left="459"/>
      </w:pPr>
      <w:r>
        <w:rPr>
          <w:color w:val="231F20"/>
          <w:spacing w:val="-2"/>
        </w:rPr>
        <w:t>closing.</w:t>
      </w:r>
    </w:p>
    <w:p>
      <w:pPr>
        <w:pStyle w:val="BodyText"/>
        <w:spacing w:line="244" w:lineRule="auto" w:before="95"/>
        <w:ind w:left="459"/>
      </w:pPr>
      <w:r>
        <w:rPr>
          <w:color w:val="231F20"/>
        </w:rPr>
        <w:t>Contingency</w:t>
      </w:r>
      <w:r>
        <w:rPr>
          <w:color w:val="231F20"/>
          <w:spacing w:val="-1"/>
        </w:rPr>
        <w:t> </w:t>
      </w:r>
      <w:r>
        <w:rPr>
          <w:color w:val="231F20"/>
        </w:rPr>
        <w:t>provisions</w:t>
      </w:r>
      <w:r>
        <w:rPr>
          <w:color w:val="231F20"/>
          <w:spacing w:val="-1"/>
        </w:rPr>
        <w:t> </w:t>
      </w:r>
      <w:r>
        <w:rPr>
          <w:color w:val="231F20"/>
        </w:rPr>
        <w:t>authorize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buyer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seller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cancel the transaction when: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91" w:after="0"/>
        <w:ind w:left="1089" w:right="0" w:hanging="270"/>
        <w:jc w:val="left"/>
        <w:rPr>
          <w:sz w:val="19"/>
        </w:rPr>
      </w:pPr>
      <w:r>
        <w:rPr>
          <w:color w:val="231F20"/>
          <w:sz w:val="19"/>
        </w:rPr>
        <w:t>the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described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event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fails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to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occur;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5"/>
          <w:sz w:val="19"/>
        </w:rPr>
        <w:t>or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94" w:after="0"/>
        <w:ind w:left="1089" w:right="0" w:hanging="270"/>
        <w:jc w:val="left"/>
        <w:rPr>
          <w:sz w:val="19"/>
        </w:rPr>
      </w:pPr>
      <w:r>
        <w:rPr>
          <w:color w:val="231F20"/>
          <w:sz w:val="19"/>
        </w:rPr>
        <w:t>the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information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received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is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sz w:val="19"/>
        </w:rPr>
        <w:t>disapproved.</w:t>
      </w:r>
    </w:p>
    <w:p>
      <w:pPr>
        <w:pStyle w:val="BodyText"/>
        <w:spacing w:line="244" w:lineRule="auto" w:before="95"/>
        <w:ind w:left="460"/>
      </w:pPr>
      <w:r>
        <w:rPr>
          <w:color w:val="231F20"/>
        </w:rPr>
        <w:t>Contingency</w:t>
      </w:r>
      <w:r>
        <w:rPr>
          <w:color w:val="231F20"/>
          <w:spacing w:val="40"/>
        </w:rPr>
        <w:t> </w:t>
      </w:r>
      <w:r>
        <w:rPr>
          <w:color w:val="231F20"/>
        </w:rPr>
        <w:t>provisions</w:t>
      </w:r>
      <w:r>
        <w:rPr>
          <w:color w:val="231F20"/>
          <w:spacing w:val="40"/>
        </w:rPr>
        <w:t> </w:t>
      </w:r>
      <w:r>
        <w:rPr>
          <w:color w:val="231F20"/>
        </w:rPr>
        <w:t>stating</w:t>
      </w:r>
      <w:r>
        <w:rPr>
          <w:color w:val="231F20"/>
          <w:spacing w:val="40"/>
        </w:rPr>
        <w:t> </w:t>
      </w:r>
      <w:r>
        <w:rPr>
          <w:color w:val="231F20"/>
        </w:rPr>
        <w:t>conditions</w:t>
      </w:r>
      <w:r>
        <w:rPr>
          <w:color w:val="231F20"/>
          <w:spacing w:val="40"/>
        </w:rPr>
        <w:t> </w:t>
      </w:r>
      <w:r>
        <w:rPr>
          <w:color w:val="231F20"/>
        </w:rPr>
        <w:t>allowing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40"/>
        </w:rPr>
        <w:t> </w:t>
      </w:r>
      <w:r>
        <w:rPr>
          <w:color w:val="231F20"/>
        </w:rPr>
        <w:t>the termination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an</w:t>
      </w:r>
      <w:r>
        <w:rPr>
          <w:color w:val="231F20"/>
          <w:spacing w:val="-16"/>
        </w:rPr>
        <w:t> </w:t>
      </w:r>
      <w:r>
        <w:rPr>
          <w:color w:val="231F20"/>
        </w:rPr>
        <w:t>agreement</w:t>
      </w:r>
      <w:r>
        <w:rPr>
          <w:color w:val="231F20"/>
          <w:spacing w:val="-15"/>
        </w:rPr>
        <w:t> </w:t>
      </w:r>
      <w:r>
        <w:rPr>
          <w:color w:val="231F20"/>
        </w:rPr>
        <w:t>are</w:t>
      </w:r>
      <w:r>
        <w:rPr>
          <w:color w:val="231F20"/>
          <w:spacing w:val="-15"/>
        </w:rPr>
        <w:t> </w:t>
      </w:r>
      <w:r>
        <w:rPr>
          <w:color w:val="231F20"/>
        </w:rPr>
        <w:t>separated</w:t>
      </w:r>
      <w:r>
        <w:rPr>
          <w:color w:val="231F20"/>
          <w:spacing w:val="-16"/>
        </w:rPr>
        <w:t> </w:t>
      </w:r>
      <w:r>
        <w:rPr>
          <w:color w:val="231F20"/>
        </w:rPr>
        <w:t>into</w:t>
      </w:r>
      <w:r>
        <w:rPr>
          <w:color w:val="231F20"/>
          <w:spacing w:val="-15"/>
        </w:rPr>
        <w:t> </w:t>
      </w:r>
      <w:r>
        <w:rPr>
          <w:color w:val="231F20"/>
        </w:rPr>
        <w:t>two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categories: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90" w:val="left" w:leader="none"/>
        </w:tabs>
        <w:spacing w:line="244" w:lineRule="auto" w:before="90" w:after="0"/>
        <w:ind w:left="1090" w:right="0" w:hanging="271"/>
        <w:jc w:val="both"/>
        <w:rPr>
          <w:sz w:val="19"/>
        </w:rPr>
      </w:pPr>
      <w:r>
        <w:rPr>
          <w:b/>
          <w:color w:val="231F20"/>
          <w:sz w:val="19"/>
        </w:rPr>
        <w:t>event-occurrence contingency provisions </w:t>
      </w:r>
      <w:r>
        <w:rPr>
          <w:color w:val="231F20"/>
          <w:sz w:val="19"/>
        </w:rPr>
        <w:t>— those provisions satisfied by the existence, completion or outcome of an activity or event which eliminates the contingency; and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90" w:val="left" w:leader="none"/>
        </w:tabs>
        <w:spacing w:line="244" w:lineRule="auto" w:before="91" w:after="0"/>
        <w:ind w:left="1090" w:right="0" w:hanging="271"/>
        <w:jc w:val="both"/>
        <w:rPr>
          <w:sz w:val="19"/>
        </w:rPr>
      </w:pPr>
      <w:r>
        <w:rPr>
          <w:b/>
          <w:color w:val="231F20"/>
          <w:sz w:val="19"/>
        </w:rPr>
        <w:t>further-approval or </w:t>
      </w:r>
      <w:r>
        <w:rPr>
          <w:b/>
          <w:color w:val="231F20"/>
          <w:sz w:val="19"/>
        </w:rPr>
        <w:t>personal-satisfaction contingency</w:t>
      </w:r>
      <w:r>
        <w:rPr>
          <w:b/>
          <w:color w:val="231F20"/>
          <w:spacing w:val="-1"/>
          <w:sz w:val="19"/>
        </w:rPr>
        <w:t> </w:t>
      </w:r>
      <w:r>
        <w:rPr>
          <w:b/>
          <w:color w:val="231F20"/>
          <w:sz w:val="19"/>
        </w:rPr>
        <w:t>provisions </w:t>
      </w:r>
      <w:r>
        <w:rPr>
          <w:color w:val="231F20"/>
          <w:sz w:val="19"/>
        </w:rPr>
        <w:t>—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those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provisions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satisfied by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receipt,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review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approval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data,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documents and reports which eliminate the contingency.</w:t>
      </w:r>
    </w:p>
    <w:p>
      <w:pPr>
        <w:spacing w:line="244" w:lineRule="auto" w:before="91"/>
        <w:ind w:left="460" w:right="0" w:firstLine="0"/>
        <w:jc w:val="both"/>
        <w:rPr>
          <w:sz w:val="19"/>
        </w:rPr>
      </w:pPr>
      <w:r>
        <w:rPr>
          <w:i/>
          <w:color w:val="231F20"/>
          <w:sz w:val="19"/>
        </w:rPr>
        <w:t>Event-occurrence contingency provisions </w:t>
      </w:r>
      <w:r>
        <w:rPr>
          <w:color w:val="231F20"/>
          <w:sz w:val="19"/>
        </w:rPr>
        <w:t>address the occurrence of specific activities and events, such as: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4" w:lineRule="auto" w:before="91" w:after="0"/>
        <w:ind w:left="1090" w:right="0" w:hanging="271"/>
        <w:jc w:val="left"/>
        <w:rPr>
          <w:sz w:val="19"/>
        </w:rPr>
      </w:pPr>
      <w:r>
        <w:rPr>
          <w:color w:val="231F20"/>
          <w:sz w:val="19"/>
        </w:rPr>
        <w:t>the sale or acquisition of other property by the buyer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or the seller;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90" w:after="0"/>
        <w:ind w:left="1090" w:right="0" w:hanging="270"/>
        <w:jc w:val="left"/>
        <w:rPr>
          <w:sz w:val="19"/>
        </w:rPr>
      </w:pPr>
      <w:r>
        <w:rPr>
          <w:color w:val="231F20"/>
          <w:sz w:val="19"/>
        </w:rPr>
        <w:t>obtaining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purchase-assist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2"/>
          <w:sz w:val="19"/>
        </w:rPr>
        <w:t>financing;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95" w:after="0"/>
        <w:ind w:left="1090" w:right="0" w:hanging="270"/>
        <w:jc w:val="left"/>
        <w:rPr>
          <w:sz w:val="19"/>
        </w:rPr>
      </w:pPr>
      <w:r>
        <w:rPr>
          <w:color w:val="231F20"/>
          <w:sz w:val="19"/>
        </w:rPr>
        <w:t>the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approval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building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permits;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5"/>
          <w:sz w:val="19"/>
        </w:rPr>
        <w:t>and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4" w:lineRule="auto" w:before="95" w:after="0"/>
        <w:ind w:left="1090" w:right="0" w:hanging="271"/>
        <w:jc w:val="left"/>
        <w:rPr>
          <w:sz w:val="19"/>
        </w:rPr>
      </w:pPr>
      <w:r>
        <w:rPr>
          <w:color w:val="231F20"/>
          <w:sz w:val="19"/>
        </w:rPr>
        <w:t>the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elimination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title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conditions,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or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release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of encumbrances, such as liens or leases.</w:t>
      </w:r>
    </w:p>
    <w:p>
      <w:pPr>
        <w:spacing w:line="244" w:lineRule="auto" w:before="98"/>
        <w:ind w:left="319" w:right="458" w:firstLine="0"/>
        <w:jc w:val="both"/>
        <w:rPr>
          <w:sz w:val="19"/>
        </w:rPr>
      </w:pPr>
      <w:r>
        <w:rPr/>
        <w:br w:type="column"/>
      </w:r>
      <w:r>
        <w:rPr>
          <w:i/>
          <w:color w:val="231F20"/>
          <w:sz w:val="19"/>
        </w:rPr>
        <w:t>Further-approval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contingency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provisions</w:t>
      </w:r>
      <w:r>
        <w:rPr>
          <w:i/>
          <w:color w:val="231F20"/>
          <w:spacing w:val="40"/>
          <w:sz w:val="19"/>
        </w:rPr>
        <w:t> </w:t>
      </w:r>
      <w:r>
        <w:rPr>
          <w:color w:val="231F20"/>
          <w:sz w:val="19"/>
        </w:rPr>
        <w:t>address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right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of the buyer or seller to cancel the transaction on their disapproval due to unacceptable property conditions and material facts, such as: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9" w:val="left" w:leader="none"/>
        </w:tabs>
        <w:spacing w:line="244" w:lineRule="auto" w:before="91" w:after="0"/>
        <w:ind w:left="949" w:right="458" w:hanging="271"/>
        <w:jc w:val="both"/>
        <w:rPr>
          <w:sz w:val="19"/>
        </w:rPr>
      </w:pPr>
      <w:r>
        <w:rPr>
          <w:color w:val="231F20"/>
          <w:sz w:val="19"/>
        </w:rPr>
        <w:t>disclosures and inspection reports concerning the physical integrity and natural and environmental hazards of the property;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91" w:after="0"/>
        <w:ind w:left="949" w:right="0" w:hanging="270"/>
        <w:jc w:val="left"/>
        <w:rPr>
          <w:sz w:val="19"/>
        </w:rPr>
      </w:pPr>
      <w:r>
        <w:rPr>
          <w:color w:val="231F20"/>
          <w:spacing w:val="-2"/>
          <w:sz w:val="19"/>
        </w:rPr>
        <w:t>appraisals;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95" w:after="0"/>
        <w:ind w:left="949" w:right="0" w:hanging="270"/>
        <w:jc w:val="left"/>
        <w:rPr>
          <w:sz w:val="19"/>
        </w:rPr>
      </w:pPr>
      <w:r>
        <w:rPr>
          <w:color w:val="231F20"/>
          <w:sz w:val="19"/>
        </w:rPr>
        <w:t>title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reports;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5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94" w:after="0"/>
        <w:ind w:left="949" w:right="0" w:hanging="270"/>
        <w:jc w:val="left"/>
        <w:rPr>
          <w:sz w:val="19"/>
        </w:rPr>
      </w:pPr>
      <w:r>
        <w:rPr>
          <w:color w:val="231F20"/>
          <w:sz w:val="19"/>
        </w:rPr>
        <w:t>rental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income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sz w:val="19"/>
        </w:rPr>
        <w:t>expenses.</w:t>
      </w:r>
    </w:p>
    <w:p>
      <w:pPr>
        <w:pStyle w:val="BodyText"/>
        <w:spacing w:line="244" w:lineRule="auto" w:before="95"/>
        <w:ind w:left="319" w:right="457"/>
        <w:jc w:val="both"/>
      </w:pPr>
      <w:r>
        <w:rPr>
          <w:color w:val="231F20"/>
        </w:rPr>
        <w:t>To terminate a purchase agreement under a contingency provision, the buyer or seller needs to have a reasonable cause to cancel for the cancellation to be enforceable. When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reasonable</w:t>
      </w:r>
      <w:r>
        <w:rPr>
          <w:color w:val="231F20"/>
          <w:spacing w:val="40"/>
        </w:rPr>
        <w:t> </w:t>
      </w:r>
      <w:r>
        <w:rPr>
          <w:color w:val="231F20"/>
        </w:rPr>
        <w:t>basis</w:t>
      </w:r>
      <w:r>
        <w:rPr>
          <w:color w:val="231F20"/>
          <w:spacing w:val="40"/>
        </w:rPr>
        <w:t> </w:t>
      </w:r>
      <w:r>
        <w:rPr>
          <w:color w:val="231F20"/>
        </w:rPr>
        <w:t>exists,</w:t>
      </w:r>
      <w:r>
        <w:rPr>
          <w:color w:val="231F20"/>
          <w:spacing w:val="40"/>
        </w:rPr>
        <w:t> </w:t>
      </w:r>
      <w:r>
        <w:rPr>
          <w:color w:val="231F20"/>
        </w:rPr>
        <w:t>they</w:t>
      </w:r>
      <w:r>
        <w:rPr>
          <w:color w:val="231F20"/>
          <w:spacing w:val="40"/>
        </w:rPr>
        <w:t> </w:t>
      </w:r>
      <w:r>
        <w:rPr>
          <w:color w:val="231F20"/>
        </w:rPr>
        <w:t>may</w:t>
      </w:r>
      <w:r>
        <w:rPr>
          <w:color w:val="231F20"/>
          <w:spacing w:val="40"/>
        </w:rPr>
        <w:t> </w:t>
      </w:r>
      <w:r>
        <w:rPr>
          <w:color w:val="231F20"/>
        </w:rPr>
        <w:t>avoid</w:t>
      </w:r>
      <w:r>
        <w:rPr>
          <w:color w:val="231F20"/>
          <w:spacing w:val="40"/>
        </w:rPr>
        <w:t> </w:t>
      </w:r>
      <w:r>
        <w:rPr>
          <w:color w:val="231F20"/>
        </w:rPr>
        <w:t>enforcement</w:t>
      </w:r>
      <w:r>
        <w:rPr>
          <w:color w:val="231F20"/>
          <w:spacing w:val="40"/>
        </w:rPr>
        <w:t> </w:t>
      </w:r>
      <w:r>
        <w:rPr>
          <w:color w:val="231F20"/>
        </w:rPr>
        <w:t>of the purchase agreement by the other person by notice of </w:t>
      </w:r>
      <w:r>
        <w:rPr>
          <w:color w:val="231F20"/>
          <w:spacing w:val="-2"/>
        </w:rPr>
        <w:t>cancellation.</w:t>
      </w:r>
    </w:p>
    <w:p>
      <w:pPr>
        <w:pStyle w:val="BodyText"/>
        <w:spacing w:line="244" w:lineRule="auto"/>
        <w:ind w:left="319" w:right="457"/>
        <w:jc w:val="both"/>
      </w:pPr>
      <w:r>
        <w:rPr>
          <w:color w:val="231F20"/>
        </w:rPr>
        <w:t>Contingency provisions contained in purchase agreements</w:t>
      </w:r>
      <w:r>
        <w:rPr>
          <w:color w:val="231F20"/>
          <w:spacing w:val="40"/>
        </w:rPr>
        <w:t> </w:t>
      </w:r>
      <w:r>
        <w:rPr>
          <w:color w:val="231F20"/>
        </w:rPr>
        <w:t>are </w:t>
      </w:r>
      <w:r>
        <w:rPr>
          <w:b/>
          <w:color w:val="231F20"/>
        </w:rPr>
        <w:t>eliminated </w:t>
      </w:r>
      <w:r>
        <w:rPr>
          <w:color w:val="231F20"/>
        </w:rPr>
        <w:t>by either: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4" w:lineRule="auto" w:before="91" w:after="0"/>
        <w:ind w:left="949" w:right="457" w:hanging="270"/>
        <w:jc w:val="both"/>
        <w:rPr>
          <w:sz w:val="19"/>
        </w:rPr>
      </w:pPr>
      <w:r>
        <w:rPr>
          <w:i/>
          <w:color w:val="231F20"/>
          <w:sz w:val="19"/>
        </w:rPr>
        <w:t>satisfaction </w:t>
      </w:r>
      <w:r>
        <w:rPr>
          <w:color w:val="231F20"/>
          <w:sz w:val="19"/>
        </w:rPr>
        <w:t>of the contingency provision by the occurrence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an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event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or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by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someone’s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approval of the conditions contained in information, data, documents or a report; or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91" w:after="0"/>
        <w:ind w:left="948" w:right="0" w:hanging="269"/>
        <w:jc w:val="both"/>
        <w:rPr>
          <w:sz w:val="19"/>
        </w:rPr>
      </w:pPr>
      <w:r>
        <w:rPr>
          <w:i/>
          <w:color w:val="231F20"/>
          <w:sz w:val="19"/>
        </w:rPr>
        <w:t>waiver</w:t>
      </w:r>
      <w:r>
        <w:rPr>
          <w:i/>
          <w:color w:val="231F20"/>
          <w:spacing w:val="9"/>
          <w:sz w:val="19"/>
        </w:rPr>
        <w:t> </w:t>
      </w:r>
      <w:r>
        <w:rPr>
          <w:color w:val="231F20"/>
          <w:sz w:val="19"/>
        </w:rPr>
        <w:t>or</w:t>
      </w:r>
      <w:r>
        <w:rPr>
          <w:color w:val="231F20"/>
          <w:spacing w:val="9"/>
          <w:sz w:val="19"/>
        </w:rPr>
        <w:t> </w:t>
      </w:r>
      <w:r>
        <w:rPr>
          <w:i/>
          <w:color w:val="231F20"/>
          <w:sz w:val="19"/>
        </w:rPr>
        <w:t>expiration</w:t>
      </w:r>
      <w:r>
        <w:rPr>
          <w:i/>
          <w:color w:val="231F20"/>
          <w:spacing w:val="9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contingency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provision.</w:t>
      </w:r>
    </w:p>
    <w:p>
      <w:pPr>
        <w:pStyle w:val="BodyText"/>
        <w:spacing w:line="244" w:lineRule="auto" w:before="94"/>
        <w:ind w:left="319" w:right="457"/>
        <w:jc w:val="both"/>
      </w:pPr>
      <w:r>
        <w:rPr>
          <w:color w:val="231F20"/>
        </w:rPr>
        <w:t>Contingency provisions are unique as they deal with uncertainties at the time an agreement is entered into. As a matter of good practice, contingency provisions are included</w:t>
      </w:r>
      <w:r>
        <w:rPr>
          <w:color w:val="231F20"/>
          <w:spacing w:val="40"/>
        </w:rPr>
        <w:t> </w:t>
      </w:r>
      <w:r>
        <w:rPr>
          <w:color w:val="231F20"/>
        </w:rPr>
        <w:t>in purchase agreements to eliminate any uncertainty about aspects the property’s title, income/expenses or physical condition. Before escrow is able to close, contingency provisions need to be eliminated.</w:t>
      </w:r>
    </w:p>
    <w:p>
      <w:pPr>
        <w:spacing w:after="0" w:line="244" w:lineRule="auto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9"/>
        <w:rPr>
          <w:sz w:val="20"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97690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49" w:hanging="2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5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7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3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9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5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1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7" w:hanging="2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90" w:hanging="2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4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2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8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4" w:hanging="27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1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64" w:lineRule="exact"/>
    </w:pPr>
    <w:rPr>
      <w:rFonts w:ascii="Arial" w:hAnsi="Arial" w:eastAsia="Arial" w:cs="Arial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1090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2024-09-09T00:01:34Z</dcterms:created>
  <dcterms:modified xsi:type="dcterms:W3CDTF">2024-09-09T00:01:34Z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