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883664"/>
                            <a:ext cx="7315200" cy="7721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51"/>
                                <w:ind w:left="0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6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6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deed-in-lieu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6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foreclosure?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966;width:11520;height:1216" type="#_x0000_t202" id="docshape3" filled="true" fillcolor="#d2232a" stroked="false">
                  <v:textbox inset="0,0,0,0">
                    <w:txbxContent>
                      <w:p>
                        <w:pPr>
                          <w:spacing w:before="351"/>
                          <w:ind w:left="0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6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6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deed-in-lieu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6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foreclosure?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line="249" w:lineRule="auto" w:before="93"/>
        <w:ind w:left="12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457200</wp:posOffset>
                </wp:positionH>
                <wp:positionV relativeFrom="paragraph">
                  <wp:posOffset>19401</wp:posOffset>
                </wp:positionV>
                <wp:extent cx="394970" cy="4178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949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5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9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7"/>
                                <w:sz w:val="59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527665pt;width:31.1pt;height:32.9pt;mso-position-horizontal-relative:page;mso-position-vertical-relative:paragraph;z-index:-15767040" type="#_x0000_t202" id="docshape4" filled="false" stroked="false">
                <v:textbox inset="0,0,0,0">
                  <w:txbxContent>
                    <w:p>
                      <w:pPr>
                        <w:spacing w:line="658" w:lineRule="exact" w:before="0"/>
                        <w:ind w:left="0" w:right="0" w:firstLine="0"/>
                        <w:jc w:val="left"/>
                        <w:rPr>
                          <w:b/>
                          <w:sz w:val="59"/>
                        </w:rPr>
                      </w:pPr>
                      <w:r>
                        <w:rPr>
                          <w:b/>
                          <w:color w:val="D2232A"/>
                          <w:spacing w:val="-7"/>
                          <w:sz w:val="59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Alternatives</w:t>
      </w:r>
      <w:r>
        <w:rPr>
          <w:color w:val="231F20"/>
          <w:spacing w:val="80"/>
        </w:rPr>
        <w:t> </w:t>
      </w:r>
      <w:r>
        <w:rPr>
          <w:color w:val="231F20"/>
        </w:rPr>
        <w:t>to</w:t>
      </w:r>
      <w:r>
        <w:rPr>
          <w:color w:val="231F20"/>
          <w:spacing w:val="80"/>
        </w:rPr>
        <w:t> </w:t>
      </w:r>
      <w:r>
        <w:rPr>
          <w:color w:val="231F20"/>
        </w:rPr>
        <w:t>foreclosure</w:t>
      </w:r>
      <w:r>
        <w:rPr>
          <w:color w:val="231F20"/>
          <w:spacing w:val="80"/>
        </w:rPr>
        <w:t> </w:t>
      </w:r>
      <w:r>
        <w:rPr>
          <w:color w:val="231F20"/>
        </w:rPr>
        <w:t>available</w:t>
      </w:r>
      <w:r>
        <w:rPr>
          <w:color w:val="231F20"/>
          <w:spacing w:val="80"/>
        </w:rPr>
        <w:t> </w:t>
      </w:r>
      <w:r>
        <w:rPr>
          <w:color w:val="231F20"/>
        </w:rPr>
        <w:t>to</w:t>
      </w:r>
      <w:r>
        <w:rPr>
          <w:color w:val="231F20"/>
          <w:spacing w:val="80"/>
        </w:rPr>
        <w:t> </w:t>
      </w:r>
      <w:r>
        <w:rPr>
          <w:color w:val="231F20"/>
        </w:rPr>
        <w:t>a homeowner</w:t>
      </w:r>
      <w:r>
        <w:rPr>
          <w:color w:val="231F20"/>
          <w:spacing w:val="78"/>
          <w:w w:val="150"/>
        </w:rPr>
        <w:t> </w:t>
      </w:r>
      <w:r>
        <w:rPr>
          <w:color w:val="231F20"/>
        </w:rPr>
        <w:t>in</w:t>
      </w:r>
      <w:r>
        <w:rPr>
          <w:color w:val="231F20"/>
          <w:spacing w:val="78"/>
          <w:w w:val="150"/>
        </w:rPr>
        <w:t> </w:t>
      </w:r>
      <w:r>
        <w:rPr>
          <w:color w:val="231F20"/>
        </w:rPr>
        <w:t>default</w:t>
      </w:r>
      <w:r>
        <w:rPr>
          <w:color w:val="231F20"/>
          <w:spacing w:val="78"/>
          <w:w w:val="150"/>
        </w:rPr>
        <w:t> </w:t>
      </w:r>
      <w:r>
        <w:rPr>
          <w:color w:val="231F20"/>
        </w:rPr>
        <w:t>on</w:t>
      </w:r>
      <w:r>
        <w:rPr>
          <w:color w:val="231F20"/>
          <w:spacing w:val="78"/>
          <w:w w:val="150"/>
        </w:rPr>
        <w:t> </w:t>
      </w:r>
      <w:r>
        <w:rPr>
          <w:color w:val="231F20"/>
        </w:rPr>
        <w:t>their</w:t>
      </w:r>
      <w:r>
        <w:rPr>
          <w:color w:val="231F20"/>
          <w:spacing w:val="78"/>
          <w:w w:val="150"/>
        </w:rPr>
        <w:t> </w:t>
      </w:r>
      <w:r>
        <w:rPr>
          <w:color w:val="231F20"/>
          <w:spacing w:val="-2"/>
        </w:rPr>
        <w:t>mortgage</w:t>
      </w:r>
    </w:p>
    <w:p>
      <w:pPr>
        <w:pStyle w:val="BodyText"/>
        <w:spacing w:before="2"/>
        <w:ind w:left="459"/>
      </w:pPr>
      <w:r>
        <w:rPr>
          <w:color w:val="231F20"/>
          <w:spacing w:val="-2"/>
        </w:rPr>
        <w:t>include: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91" w:after="0"/>
        <w:ind w:left="998" w:right="0" w:hanging="269"/>
        <w:jc w:val="left"/>
        <w:rPr>
          <w:color w:val="231F20"/>
          <w:sz w:val="22"/>
        </w:rPr>
      </w:pPr>
      <w:r>
        <w:rPr>
          <w:color w:val="231F20"/>
          <w:spacing w:val="-2"/>
          <w:sz w:val="22"/>
        </w:rPr>
        <w:t>forbearance;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01" w:after="0"/>
        <w:ind w:left="998" w:right="0" w:hanging="269"/>
        <w:jc w:val="left"/>
        <w:rPr>
          <w:color w:val="231F20"/>
          <w:sz w:val="22"/>
        </w:rPr>
      </w:pPr>
      <w:r>
        <w:rPr>
          <w:color w:val="231F20"/>
          <w:sz w:val="22"/>
        </w:rPr>
        <w:t>loan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modification;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01" w:after="0"/>
        <w:ind w:left="998" w:right="0" w:hanging="269"/>
        <w:jc w:val="left"/>
        <w:rPr>
          <w:b/>
          <w:color w:val="231F20"/>
          <w:sz w:val="22"/>
        </w:rPr>
      </w:pPr>
      <w:r>
        <w:rPr>
          <w:b/>
          <w:color w:val="231F20"/>
          <w:sz w:val="22"/>
        </w:rPr>
        <w:t>deed-in-lieu</w:t>
      </w:r>
      <w:r>
        <w:rPr>
          <w:b/>
          <w:color w:val="231F20"/>
          <w:spacing w:val="-1"/>
          <w:sz w:val="22"/>
        </w:rPr>
        <w:t> </w:t>
      </w:r>
      <w:r>
        <w:rPr>
          <w:color w:val="231F20"/>
          <w:sz w:val="22"/>
        </w:rPr>
        <w:t>of </w:t>
      </w:r>
      <w:r>
        <w:rPr>
          <w:color w:val="231F20"/>
          <w:spacing w:val="-2"/>
          <w:sz w:val="22"/>
        </w:rPr>
        <w:t>foreclosure;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01" w:after="0"/>
        <w:ind w:left="998" w:right="0" w:hanging="269"/>
        <w:jc w:val="left"/>
        <w:rPr>
          <w:color w:val="231F20"/>
          <w:sz w:val="22"/>
        </w:rPr>
      </w:pPr>
      <w:r>
        <w:rPr>
          <w:color w:val="231F20"/>
          <w:sz w:val="22"/>
        </w:rPr>
        <w:t>conventional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sale;</w:t>
      </w:r>
      <w:r>
        <w:rPr>
          <w:color w:val="231F20"/>
          <w:spacing w:val="-5"/>
          <w:sz w:val="22"/>
        </w:rPr>
        <w:t> and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01" w:after="0"/>
        <w:ind w:left="998" w:right="0" w:hanging="269"/>
        <w:jc w:val="left"/>
        <w:rPr>
          <w:color w:val="231F20"/>
          <w:sz w:val="22"/>
        </w:rPr>
      </w:pPr>
      <w:r>
        <w:rPr>
          <w:color w:val="231F20"/>
          <w:sz w:val="22"/>
        </w:rPr>
        <w:t>short </w:t>
      </w:r>
      <w:r>
        <w:rPr>
          <w:color w:val="231F20"/>
          <w:spacing w:val="-2"/>
          <w:sz w:val="22"/>
        </w:rPr>
        <w:t>sale.</w:t>
      </w:r>
    </w:p>
    <w:p>
      <w:pPr>
        <w:pStyle w:val="BodyText"/>
        <w:spacing w:line="249" w:lineRule="auto" w:before="101"/>
        <w:ind w:left="459"/>
        <w:jc w:val="both"/>
      </w:pPr>
      <w:r>
        <w:rPr>
          <w:color w:val="231F20"/>
        </w:rPr>
        <w:t>When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homeowner</w:t>
      </w:r>
      <w:r>
        <w:rPr>
          <w:color w:val="231F20"/>
          <w:spacing w:val="40"/>
        </w:rPr>
        <w:t> </w:t>
      </w:r>
      <w:r>
        <w:rPr>
          <w:color w:val="231F20"/>
        </w:rPr>
        <w:t>cannot</w:t>
      </w:r>
      <w:r>
        <w:rPr>
          <w:color w:val="231F20"/>
          <w:spacing w:val="40"/>
        </w:rPr>
        <w:t> </w:t>
      </w:r>
      <w:r>
        <w:rPr>
          <w:color w:val="231F20"/>
        </w:rPr>
        <w:t>avoid</w:t>
      </w:r>
      <w:r>
        <w:rPr>
          <w:color w:val="231F20"/>
          <w:spacing w:val="40"/>
        </w:rPr>
        <w:t> </w:t>
      </w:r>
      <w:r>
        <w:rPr>
          <w:color w:val="231F20"/>
        </w:rPr>
        <w:t>foreclosure</w:t>
      </w:r>
      <w:r>
        <w:rPr>
          <w:color w:val="231F20"/>
          <w:spacing w:val="40"/>
        </w:rPr>
        <w:t> </w:t>
      </w:r>
      <w:r>
        <w:rPr>
          <w:color w:val="231F20"/>
        </w:rPr>
        <w:t>by an arrangement with their lender for forbearance or loan</w:t>
      </w:r>
      <w:r>
        <w:rPr>
          <w:color w:val="231F20"/>
          <w:spacing w:val="-4"/>
        </w:rPr>
        <w:t> </w:t>
      </w:r>
      <w:r>
        <w:rPr>
          <w:color w:val="231F20"/>
        </w:rPr>
        <w:t>modification,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simply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property,</w:t>
      </w:r>
      <w:r>
        <w:rPr>
          <w:color w:val="231F20"/>
          <w:spacing w:val="-4"/>
        </w:rPr>
        <w:t> </w:t>
      </w:r>
      <w:r>
        <w:rPr>
          <w:color w:val="231F20"/>
        </w:rPr>
        <w:t>the homeowner</w:t>
      </w:r>
      <w:r>
        <w:rPr>
          <w:color w:val="231F20"/>
          <w:spacing w:val="-2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arrange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b/>
          <w:color w:val="231F20"/>
        </w:rPr>
        <w:t>deed-in-lieu</w:t>
      </w:r>
      <w:r>
        <w:rPr>
          <w:b/>
          <w:color w:val="231F20"/>
          <w:spacing w:val="-3"/>
        </w:rPr>
        <w:t> </w:t>
      </w:r>
      <w:r>
        <w:rPr>
          <w:color w:val="231F20"/>
        </w:rPr>
        <w:t>of foreclosure acceptable to the lender.</w:t>
      </w:r>
    </w:p>
    <w:p>
      <w:pPr>
        <w:pStyle w:val="BodyText"/>
        <w:spacing w:before="184"/>
        <w:ind w:left="459"/>
      </w:pP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deed-in-lieu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usually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last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resort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arranged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when: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91" w:after="0"/>
        <w:ind w:left="999" w:right="1" w:hanging="270"/>
        <w:jc w:val="left"/>
        <w:rPr>
          <w:color w:val="231F20"/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mortgage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balance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encumbering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property is greater than the property’s value;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92" w:after="0"/>
        <w:ind w:left="998" w:right="0" w:hanging="269"/>
        <w:jc w:val="left"/>
        <w:rPr>
          <w:color w:val="231F20"/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mortgage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nonrecourse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debt;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01" w:after="0"/>
        <w:ind w:left="999" w:right="1" w:hanging="270"/>
        <w:jc w:val="left"/>
        <w:rPr>
          <w:color w:val="231F20"/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owner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fails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sell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property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through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a short sale.</w:t>
      </w:r>
    </w:p>
    <w:p>
      <w:pPr>
        <w:pStyle w:val="BodyText"/>
        <w:spacing w:before="92"/>
        <w:ind w:left="459"/>
      </w:pP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homeowner</w:t>
      </w:r>
      <w:r>
        <w:rPr>
          <w:color w:val="231F20"/>
          <w:spacing w:val="25"/>
        </w:rPr>
        <w:t> </w:t>
      </w:r>
      <w:r>
        <w:rPr>
          <w:color w:val="231F20"/>
        </w:rPr>
        <w:t>who</w:t>
      </w:r>
      <w:r>
        <w:rPr>
          <w:color w:val="231F20"/>
          <w:spacing w:val="26"/>
        </w:rPr>
        <w:t> </w:t>
      </w:r>
      <w:r>
        <w:rPr>
          <w:color w:val="231F20"/>
        </w:rPr>
        <w:t>signs</w:t>
      </w:r>
      <w:r>
        <w:rPr>
          <w:color w:val="231F20"/>
          <w:spacing w:val="25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delivers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6"/>
        </w:rPr>
        <w:t> </w:t>
      </w:r>
      <w:r>
        <w:rPr>
          <w:color w:val="231F20"/>
        </w:rPr>
        <w:t>deed-in-</w:t>
      </w:r>
      <w:r>
        <w:rPr>
          <w:color w:val="231F20"/>
          <w:spacing w:val="-4"/>
        </w:rPr>
        <w:t>lieu</w:t>
      </w:r>
    </w:p>
    <w:p>
      <w:pPr>
        <w:pStyle w:val="BodyText"/>
        <w:spacing w:line="249" w:lineRule="auto" w:before="93"/>
        <w:ind w:left="318" w:right="458"/>
        <w:jc w:val="both"/>
      </w:pPr>
      <w:r>
        <w:rPr/>
        <w:br w:type="column"/>
      </w:r>
      <w:r>
        <w:rPr>
          <w:color w:val="231F20"/>
        </w:rPr>
        <w:t>acceptable to the lender essentially conveys their property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lender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exchange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cancellation of the debt.</w:t>
      </w:r>
    </w:p>
    <w:p>
      <w:pPr>
        <w:pStyle w:val="BodyText"/>
        <w:spacing w:line="249" w:lineRule="auto" w:before="182"/>
        <w:ind w:left="318" w:right="458"/>
        <w:jc w:val="both"/>
      </w:pPr>
      <w:r>
        <w:rPr>
          <w:color w:val="231F20"/>
        </w:rPr>
        <w:t>Both the deed-in-lieu and a reconveyance of the trust deed</w:t>
      </w:r>
      <w:r>
        <w:rPr>
          <w:color w:val="231F20"/>
          <w:spacing w:val="-1"/>
        </w:rPr>
        <w:t> </w:t>
      </w:r>
      <w:r>
        <w:rPr>
          <w:color w:val="231F20"/>
        </w:rPr>
        <w:t>are</w:t>
      </w:r>
      <w:r>
        <w:rPr>
          <w:color w:val="231F20"/>
          <w:spacing w:val="-1"/>
        </w:rPr>
        <w:t> </w:t>
      </w:r>
      <w:r>
        <w:rPr>
          <w:color w:val="231F20"/>
        </w:rPr>
        <w:t>recorded,</w:t>
      </w:r>
      <w:r>
        <w:rPr>
          <w:color w:val="231F20"/>
          <w:spacing w:val="-1"/>
        </w:rPr>
        <w:t> </w:t>
      </w:r>
      <w:r>
        <w:rPr>
          <w:color w:val="231F20"/>
        </w:rPr>
        <w:t>extinguishing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lender-borrower relationship between the lender and the homeowner.</w:t>
      </w:r>
    </w:p>
    <w:p>
      <w:pPr>
        <w:pStyle w:val="BodyText"/>
        <w:spacing w:line="249" w:lineRule="auto" w:before="183"/>
        <w:ind w:left="318" w:right="457"/>
        <w:jc w:val="both"/>
      </w:pPr>
      <w:r>
        <w:rPr>
          <w:color w:val="231F20"/>
        </w:rPr>
        <w:t>A deficiency in the value of the mortgaged property</w:t>
      </w:r>
      <w:r>
        <w:rPr>
          <w:color w:val="231F20"/>
          <w:spacing w:val="80"/>
        </w:rPr>
        <w:t> </w:t>
      </w:r>
      <w:r>
        <w:rPr>
          <w:color w:val="231F20"/>
        </w:rPr>
        <w:t>to provide a full recovery of the mortgage debt most often provides the homeowner with </w:t>
      </w:r>
      <w:r>
        <w:rPr>
          <w:b/>
          <w:color w:val="231F20"/>
        </w:rPr>
        <w:t>anti-deficiency </w:t>
      </w:r>
      <w:r>
        <w:rPr>
          <w:color w:val="231F20"/>
        </w:rPr>
        <w:t>law</w:t>
      </w:r>
      <w:r>
        <w:rPr>
          <w:color w:val="231F20"/>
          <w:spacing w:val="-1"/>
        </w:rPr>
        <w:t> </w:t>
      </w:r>
      <w:r>
        <w:rPr>
          <w:color w:val="231F20"/>
        </w:rPr>
        <w:t>protection, called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purchase-money mortgage</w:t>
      </w:r>
      <w:r>
        <w:rPr>
          <w:color w:val="231F20"/>
          <w:spacing w:val="-1"/>
        </w:rPr>
        <w:t> </w:t>
      </w:r>
      <w:r>
        <w:rPr>
          <w:color w:val="231F20"/>
        </w:rPr>
        <w:t>or nonrecourse mortgage.</w:t>
      </w:r>
    </w:p>
    <w:p>
      <w:pPr>
        <w:pStyle w:val="BodyText"/>
        <w:spacing w:line="249" w:lineRule="auto" w:before="185"/>
        <w:ind w:left="318" w:right="458"/>
        <w:jc w:val="both"/>
      </w:pPr>
      <w:r>
        <w:rPr>
          <w:color w:val="231F20"/>
        </w:rPr>
        <w:t>On</w:t>
      </w:r>
      <w:r>
        <w:rPr>
          <w:color w:val="231F20"/>
          <w:spacing w:val="33"/>
        </w:rPr>
        <w:t> </w:t>
      </w:r>
      <w:r>
        <w:rPr>
          <w:color w:val="231F20"/>
        </w:rPr>
        <w:t>a</w:t>
      </w:r>
      <w:r>
        <w:rPr>
          <w:color w:val="231F20"/>
          <w:spacing w:val="33"/>
        </w:rPr>
        <w:t> </w:t>
      </w:r>
      <w:r>
        <w:rPr>
          <w:color w:val="231F20"/>
        </w:rPr>
        <w:t>nonrecourse</w:t>
      </w:r>
      <w:r>
        <w:rPr>
          <w:color w:val="231F20"/>
          <w:spacing w:val="33"/>
        </w:rPr>
        <w:t> </w:t>
      </w:r>
      <w:r>
        <w:rPr>
          <w:color w:val="231F20"/>
        </w:rPr>
        <w:t>mortgage,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lender</w:t>
      </w:r>
      <w:r>
        <w:rPr>
          <w:color w:val="231F20"/>
          <w:spacing w:val="33"/>
        </w:rPr>
        <w:t> </w:t>
      </w:r>
      <w:r>
        <w:rPr>
          <w:color w:val="231F20"/>
        </w:rPr>
        <w:t>is</w:t>
      </w:r>
      <w:r>
        <w:rPr>
          <w:color w:val="231F20"/>
          <w:spacing w:val="33"/>
        </w:rPr>
        <w:t> </w:t>
      </w:r>
      <w:r>
        <w:rPr>
          <w:color w:val="231F20"/>
        </w:rPr>
        <w:t>not</w:t>
      </w:r>
      <w:r>
        <w:rPr>
          <w:color w:val="231F20"/>
          <w:spacing w:val="33"/>
        </w:rPr>
        <w:t> </w:t>
      </w:r>
      <w:r>
        <w:rPr>
          <w:color w:val="231F20"/>
        </w:rPr>
        <w:t>able to hold the original borrower personally liable for the deficient property value.</w:t>
      </w:r>
    </w:p>
    <w:p>
      <w:pPr>
        <w:pStyle w:val="BodyText"/>
        <w:spacing w:line="249" w:lineRule="auto" w:before="182"/>
        <w:ind w:left="318" w:right="457"/>
        <w:jc w:val="both"/>
      </w:pP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contrast,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i/>
          <w:color w:val="231F20"/>
          <w:spacing w:val="-2"/>
        </w:rPr>
        <w:t>recourse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2"/>
        </w:rPr>
        <w:t>mortgage</w:t>
      </w:r>
      <w:r>
        <w:rPr>
          <w:i/>
          <w:color w:val="231F20"/>
          <w:spacing w:val="-11"/>
        </w:rPr>
        <w:t> </w:t>
      </w:r>
      <w:r>
        <w:rPr>
          <w:color w:val="231F20"/>
          <w:spacing w:val="-2"/>
        </w:rPr>
        <w:t>does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anti- </w:t>
      </w:r>
      <w:r>
        <w:rPr>
          <w:color w:val="231F20"/>
        </w:rPr>
        <w:t>deficiency protection for the owner from a deficiency judgment. Further, when the mortgage is insured against</w:t>
      </w:r>
      <w:r>
        <w:rPr>
          <w:color w:val="231F20"/>
          <w:spacing w:val="-5"/>
        </w:rPr>
        <w:t> </w:t>
      </w:r>
      <w:r>
        <w:rPr>
          <w:color w:val="231F20"/>
        </w:rPr>
        <w:t>default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Federal</w:t>
      </w:r>
      <w:r>
        <w:rPr>
          <w:color w:val="231F20"/>
          <w:spacing w:val="-5"/>
        </w:rPr>
        <w:t> </w:t>
      </w:r>
      <w:r>
        <w:rPr>
          <w:color w:val="231F20"/>
        </w:rPr>
        <w:t>Housing</w:t>
      </w:r>
      <w:r>
        <w:rPr>
          <w:color w:val="231F20"/>
          <w:spacing w:val="-16"/>
        </w:rPr>
        <w:t> </w:t>
      </w:r>
      <w:r>
        <w:rPr>
          <w:color w:val="231F20"/>
        </w:rPr>
        <w:t>Administration (FHA)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Department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Veterans</w:t>
      </w:r>
      <w:r>
        <w:rPr>
          <w:color w:val="231F20"/>
          <w:spacing w:val="-14"/>
        </w:rPr>
        <w:t> </w:t>
      </w:r>
      <w:r>
        <w:rPr>
          <w:color w:val="231F20"/>
        </w:rPr>
        <w:t>Affairs</w:t>
      </w:r>
      <w:r>
        <w:rPr>
          <w:color w:val="231F20"/>
          <w:spacing w:val="-4"/>
        </w:rPr>
        <w:t> </w:t>
      </w:r>
      <w:r>
        <w:rPr>
          <w:color w:val="231F20"/>
        </w:rPr>
        <w:t>(VA),</w:t>
      </w:r>
      <w:r>
        <w:rPr>
          <w:color w:val="231F20"/>
          <w:spacing w:val="-4"/>
        </w:rPr>
        <w:t> </w:t>
      </w:r>
      <w:r>
        <w:rPr>
          <w:color w:val="231F20"/>
        </w:rPr>
        <w:t>the FHA</w:t>
      </w:r>
      <w:r>
        <w:rPr>
          <w:color w:val="231F20"/>
          <w:spacing w:val="-16"/>
        </w:rPr>
        <w:t> </w:t>
      </w:r>
      <w:r>
        <w:rPr>
          <w:color w:val="231F20"/>
        </w:rPr>
        <w:t>or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VA</w:t>
      </w:r>
      <w:r>
        <w:rPr>
          <w:color w:val="231F20"/>
          <w:spacing w:val="-16"/>
        </w:rPr>
        <w:t> </w:t>
      </w:r>
      <w:r>
        <w:rPr>
          <w:color w:val="231F20"/>
        </w:rPr>
        <w:t>have</w:t>
      </w:r>
      <w:r>
        <w:rPr>
          <w:color w:val="231F20"/>
          <w:spacing w:val="-15"/>
        </w:rPr>
        <w:t> </w:t>
      </w:r>
      <w:r>
        <w:rPr>
          <w:color w:val="231F20"/>
        </w:rPr>
        <w:t>recourse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homeowner</w:t>
      </w:r>
      <w:r>
        <w:rPr>
          <w:color w:val="231F20"/>
          <w:spacing w:val="-13"/>
        </w:rPr>
        <w:t> </w:t>
      </w:r>
      <w:r>
        <w:rPr>
          <w:color w:val="231F20"/>
        </w:rPr>
        <w:t>under the</w:t>
      </w:r>
      <w:r>
        <w:rPr>
          <w:color w:val="231F20"/>
          <w:spacing w:val="-1"/>
        </w:rPr>
        <w:t> </w:t>
      </w:r>
      <w:r>
        <w:rPr>
          <w:color w:val="231F20"/>
        </w:rPr>
        <w:t>default</w:t>
      </w:r>
      <w:r>
        <w:rPr>
          <w:color w:val="231F20"/>
          <w:spacing w:val="-1"/>
        </w:rPr>
        <w:t> </w:t>
      </w:r>
      <w:r>
        <w:rPr>
          <w:color w:val="231F20"/>
        </w:rPr>
        <w:t>insurance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losses</w:t>
      </w:r>
      <w:r>
        <w:rPr>
          <w:color w:val="231F20"/>
          <w:spacing w:val="-1"/>
        </w:rPr>
        <w:t> </w:t>
      </w:r>
      <w:r>
        <w:rPr>
          <w:color w:val="231F20"/>
        </w:rPr>
        <w:t>due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foreclosure,</w:t>
      </w:r>
      <w:r>
        <w:rPr>
          <w:color w:val="231F20"/>
          <w:spacing w:val="-1"/>
        </w:rPr>
        <w:t> </w:t>
      </w:r>
      <w:r>
        <w:rPr>
          <w:color w:val="231F20"/>
        </w:rPr>
        <w:t>or in this case, a deed-in-lieu of foreclosure.</w:t>
      </w:r>
    </w:p>
    <w:p>
      <w:pPr>
        <w:spacing w:after="0" w:line="249" w:lineRule="auto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97824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72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277482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21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8" w:lineRule="exact"/>
    </w:pPr>
    <w:rPr>
      <w:rFonts w:ascii="Arial" w:hAnsi="Arial" w:eastAsia="Arial" w:cs="Arial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998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2024-09-08T23:03:25Z</dcterms:created>
  <dcterms:modified xsi:type="dcterms:W3CDTF">2024-09-08T23:03:25Z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