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996948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discount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points?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144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62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discount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points?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before="93"/>
        <w:ind w:left="459" w:firstLine="76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21250</wp:posOffset>
                </wp:positionV>
                <wp:extent cx="384810" cy="40703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673276pt;width:30.3pt;height:32.0500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Points</w:t>
      </w:r>
      <w:r>
        <w:rPr>
          <w:color w:val="231F20"/>
          <w:spacing w:val="40"/>
        </w:rPr>
        <w:t> </w:t>
      </w:r>
      <w:r>
        <w:rPr>
          <w:color w:val="231F20"/>
        </w:rPr>
        <w:t>paid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lender</w:t>
      </w:r>
      <w:r>
        <w:rPr>
          <w:color w:val="231F20"/>
          <w:spacing w:val="40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origination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a mortgage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are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considered</w:t>
      </w:r>
      <w:r>
        <w:rPr>
          <w:color w:val="231F20"/>
          <w:spacing w:val="80"/>
          <w:w w:val="150"/>
        </w:rPr>
        <w:t> </w:t>
      </w:r>
      <w:r>
        <w:rPr>
          <w:b/>
          <w:color w:val="231F20"/>
        </w:rPr>
        <w:t>interest</w:t>
      </w:r>
      <w:r>
        <w:rPr>
          <w:b/>
          <w:color w:val="231F20"/>
          <w:spacing w:val="80"/>
          <w:w w:val="150"/>
        </w:rPr>
        <w:t> </w:t>
      </w:r>
      <w:r>
        <w:rPr>
          <w:color w:val="231F20"/>
        </w:rPr>
        <w:t>that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is</w:t>
      </w:r>
      <w:r>
        <w:rPr>
          <w:color w:val="231F20"/>
        </w:rPr>
        <w:t> prepaid</w:t>
      </w:r>
      <w:r>
        <w:rPr>
          <w:color w:val="231F20"/>
          <w:spacing w:val="29"/>
        </w:rPr>
        <w:t> </w:t>
      </w:r>
      <w:r>
        <w:rPr>
          <w:color w:val="231F20"/>
        </w:rPr>
        <w:t>as</w:t>
      </w:r>
      <w:r>
        <w:rPr>
          <w:color w:val="231F20"/>
          <w:spacing w:val="30"/>
        </w:rPr>
        <w:t> </w:t>
      </w:r>
      <w:r>
        <w:rPr>
          <w:color w:val="231F20"/>
        </w:rPr>
        <w:t>it</w:t>
      </w:r>
      <w:r>
        <w:rPr>
          <w:color w:val="231F20"/>
          <w:spacing w:val="29"/>
        </w:rPr>
        <w:t> </w:t>
      </w:r>
      <w:r>
        <w:rPr>
          <w:color w:val="231F20"/>
        </w:rPr>
        <w:t>has</w:t>
      </w:r>
      <w:r>
        <w:rPr>
          <w:color w:val="231F20"/>
          <w:spacing w:val="30"/>
        </w:rPr>
        <w:t> </w:t>
      </w:r>
      <w:r>
        <w:rPr>
          <w:color w:val="231F20"/>
        </w:rPr>
        <w:t>not</w:t>
      </w:r>
      <w:r>
        <w:rPr>
          <w:color w:val="231F20"/>
          <w:spacing w:val="30"/>
        </w:rPr>
        <w:t> </w:t>
      </w:r>
      <w:r>
        <w:rPr>
          <w:color w:val="231F20"/>
        </w:rPr>
        <w:t>yet</w:t>
      </w:r>
      <w:r>
        <w:rPr>
          <w:color w:val="231F20"/>
          <w:spacing w:val="29"/>
        </w:rPr>
        <w:t> </w:t>
      </w:r>
      <w:r>
        <w:rPr>
          <w:color w:val="231F20"/>
        </w:rPr>
        <w:t>accrued</w:t>
      </w:r>
      <w:r>
        <w:rPr>
          <w:color w:val="231F20"/>
          <w:spacing w:val="29"/>
        </w:rPr>
        <w:t> </w:t>
      </w:r>
      <w:r>
        <w:rPr>
          <w:color w:val="231F20"/>
        </w:rPr>
        <w:t>as</w:t>
      </w:r>
      <w:r>
        <w:rPr>
          <w:color w:val="231F20"/>
          <w:spacing w:val="30"/>
        </w:rPr>
        <w:t> </w:t>
      </w:r>
      <w:r>
        <w:rPr>
          <w:color w:val="231F20"/>
        </w:rPr>
        <w:t>earned</w:t>
      </w:r>
      <w:r>
        <w:rPr>
          <w:color w:val="231F20"/>
          <w:spacing w:val="29"/>
        </w:rPr>
        <w:t> </w:t>
      </w:r>
      <w:r>
        <w:rPr>
          <w:color w:val="231F20"/>
        </w:rPr>
        <w:t>by</w:t>
      </w:r>
      <w:r>
        <w:rPr>
          <w:color w:val="231F20"/>
          <w:spacing w:val="30"/>
        </w:rPr>
        <w:t> </w:t>
      </w:r>
      <w:r>
        <w:rPr>
          <w:color w:val="231F20"/>
        </w:rPr>
        <w:t>the lender.</w:t>
      </w:r>
      <w:r>
        <w:rPr>
          <w:color w:val="231F20"/>
          <w:spacing w:val="38"/>
        </w:rPr>
        <w:t> </w:t>
      </w:r>
      <w:r>
        <w:rPr>
          <w:color w:val="231F20"/>
        </w:rPr>
        <w:t>Points</w:t>
      </w:r>
      <w:r>
        <w:rPr>
          <w:color w:val="231F20"/>
          <w:spacing w:val="38"/>
        </w:rPr>
        <w:t> </w:t>
      </w:r>
      <w:r>
        <w:rPr>
          <w:color w:val="231F20"/>
        </w:rPr>
        <w:t>essentially</w:t>
      </w:r>
      <w:r>
        <w:rPr>
          <w:color w:val="231F20"/>
          <w:spacing w:val="38"/>
        </w:rPr>
        <w:t> </w:t>
      </w:r>
      <w:r>
        <w:rPr>
          <w:color w:val="231F20"/>
        </w:rPr>
        <w:t>buy</w:t>
      </w:r>
      <w:r>
        <w:rPr>
          <w:color w:val="231F20"/>
          <w:spacing w:val="38"/>
        </w:rPr>
        <w:t> </w:t>
      </w:r>
      <w:r>
        <w:rPr>
          <w:color w:val="231F20"/>
        </w:rPr>
        <w:t>down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mortgage’s interest</w:t>
      </w:r>
      <w:r>
        <w:rPr>
          <w:color w:val="231F20"/>
          <w:spacing w:val="40"/>
        </w:rPr>
        <w:t> </w:t>
      </w:r>
      <w:r>
        <w:rPr>
          <w:color w:val="231F20"/>
        </w:rPr>
        <w:t>rate</w:t>
      </w:r>
      <w:r>
        <w:rPr>
          <w:color w:val="231F20"/>
          <w:spacing w:val="40"/>
        </w:rPr>
        <w:t> </w:t>
      </w:r>
      <w:r>
        <w:rPr>
          <w:color w:val="231F20"/>
        </w:rPr>
        <w:t>from</w:t>
      </w:r>
      <w:r>
        <w:rPr>
          <w:color w:val="231F20"/>
          <w:spacing w:val="40"/>
        </w:rPr>
        <w:t> </w:t>
      </w:r>
      <w:r>
        <w:rPr>
          <w:color w:val="231F20"/>
        </w:rPr>
        <w:t>par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life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mortgage. When no points are paid or taken by the lender as a discount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origination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mortgage,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interest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rate</w:t>
      </w:r>
    </w:p>
    <w:p>
      <w:pPr>
        <w:pStyle w:val="BodyText"/>
        <w:ind w:left="459"/>
        <w:jc w:val="both"/>
      </w:pPr>
      <w:r>
        <w:rPr>
          <w:color w:val="231F20"/>
        </w:rPr>
        <w:t>stated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note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par</w:t>
      </w:r>
      <w:r>
        <w:rPr>
          <w:color w:val="231F20"/>
          <w:spacing w:val="-2"/>
        </w:rPr>
        <w:t> </w:t>
      </w:r>
      <w:r>
        <w:rPr>
          <w:color w:val="231F20"/>
        </w:rPr>
        <w:t>market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rate.</w:t>
      </w:r>
    </w:p>
    <w:p>
      <w:pPr>
        <w:pStyle w:val="BodyText"/>
        <w:spacing w:before="200"/>
        <w:ind w:left="459"/>
        <w:jc w:val="both"/>
      </w:pPr>
      <w:r>
        <w:rPr>
          <w:color w:val="231F20"/>
        </w:rPr>
        <w:t>Depending on the purpose for obtaining mortgage funds, points are deductible for income tax reporting, </w:t>
      </w:r>
      <w:r>
        <w:rPr>
          <w:color w:val="231F20"/>
          <w:spacing w:val="-2"/>
        </w:rPr>
        <w:t>either: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200" w:after="0"/>
        <w:ind w:left="1089" w:right="0" w:hanging="270"/>
        <w:jc w:val="left"/>
        <w:rPr>
          <w:sz w:val="22"/>
        </w:rPr>
      </w:pPr>
      <w:r>
        <w:rPr>
          <w:color w:val="231F20"/>
          <w:sz w:val="22"/>
        </w:rPr>
        <w:t>fractionally throughout the life of the mortgage; </w:t>
      </w:r>
      <w:r>
        <w:rPr>
          <w:color w:val="231F20"/>
          <w:spacing w:val="-6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40" w:lineRule="auto" w:before="90" w:after="0"/>
        <w:ind w:left="1088" w:right="0" w:hanging="269"/>
        <w:jc w:val="left"/>
        <w:rPr>
          <w:sz w:val="22"/>
        </w:rPr>
      </w:pPr>
      <w:r>
        <w:rPr>
          <w:color w:val="231F20"/>
          <w:sz w:val="22"/>
        </w:rPr>
        <w:t>entirely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year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mortgage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originated.</w:t>
      </w:r>
    </w:p>
    <w:p>
      <w:pPr>
        <w:pStyle w:val="BodyText"/>
        <w:spacing w:before="180"/>
        <w:ind w:left="459"/>
        <w:jc w:val="both"/>
      </w:pPr>
      <w:r>
        <w:rPr>
          <w:color w:val="231F20"/>
        </w:rPr>
        <w:t>The general tax reporting rule for expensing interest, unless</w:t>
      </w:r>
      <w:r>
        <w:rPr>
          <w:color w:val="231F20"/>
          <w:spacing w:val="-2"/>
        </w:rPr>
        <w:t> </w:t>
      </w:r>
      <w:r>
        <w:rPr>
          <w:color w:val="231F20"/>
        </w:rPr>
        <w:t>excluded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rule,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only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fraction 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points</w:t>
      </w:r>
      <w:r>
        <w:rPr>
          <w:color w:val="231F20"/>
          <w:spacing w:val="-2"/>
        </w:rPr>
        <w:t> </w:t>
      </w:r>
      <w:r>
        <w:rPr>
          <w:color w:val="231F20"/>
        </w:rPr>
        <w:t>paid</w:t>
      </w:r>
      <w:r>
        <w:rPr>
          <w:color w:val="231F20"/>
          <w:spacing w:val="-2"/>
        </w:rPr>
        <w:t> </w:t>
      </w:r>
      <w:r>
        <w:rPr>
          <w:color w:val="231F20"/>
        </w:rPr>
        <w:t>which</w:t>
      </w:r>
      <w:r>
        <w:rPr>
          <w:color w:val="231F20"/>
          <w:spacing w:val="-2"/>
        </w:rPr>
        <w:t> </w:t>
      </w:r>
      <w:r>
        <w:rPr>
          <w:color w:val="231F20"/>
        </w:rPr>
        <w:t>accrues</w:t>
      </w:r>
      <w:r>
        <w:rPr>
          <w:color w:val="231F20"/>
          <w:spacing w:val="-2"/>
        </w:rPr>
        <w:t> </w:t>
      </w:r>
      <w:r>
        <w:rPr>
          <w:color w:val="231F20"/>
        </w:rPr>
        <w:t>each</w:t>
      </w:r>
      <w:r>
        <w:rPr>
          <w:color w:val="231F20"/>
          <w:spacing w:val="-2"/>
        </w:rPr>
        <w:t> </w:t>
      </w:r>
      <w:r>
        <w:rPr>
          <w:color w:val="231F20"/>
        </w:rPr>
        <w:t>month</w:t>
      </w:r>
      <w:r>
        <w:rPr>
          <w:color w:val="231F20"/>
          <w:spacing w:val="-2"/>
        </w:rPr>
        <w:t> </w:t>
      </w:r>
      <w:r>
        <w:rPr>
          <w:color w:val="231F20"/>
        </w:rPr>
        <w:t>over</w:t>
      </w:r>
      <w:r>
        <w:rPr>
          <w:color w:val="231F20"/>
          <w:spacing w:val="-2"/>
        </w:rPr>
        <w:t> </w:t>
      </w:r>
      <w:r>
        <w:rPr>
          <w:color w:val="231F20"/>
        </w:rPr>
        <w:t>the </w:t>
      </w:r>
      <w:r>
        <w:rPr>
          <w:color w:val="231F20"/>
          <w:spacing w:val="-2"/>
        </w:rPr>
        <w:t>life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mortgage,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called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i/>
          <w:color w:val="231F20"/>
          <w:spacing w:val="-2"/>
        </w:rPr>
        <w:t>life-of-loan</w:t>
      </w:r>
      <w:r>
        <w:rPr>
          <w:i/>
          <w:color w:val="231F20"/>
          <w:spacing w:val="-8"/>
        </w:rPr>
        <w:t> </w:t>
      </w:r>
      <w:r>
        <w:rPr>
          <w:color w:val="231F20"/>
          <w:spacing w:val="-2"/>
        </w:rPr>
        <w:t>accrual,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may </w:t>
      </w:r>
      <w:r>
        <w:rPr>
          <w:color w:val="231F20"/>
        </w:rPr>
        <w:t>be deducted against that year’s income. In the year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a mortgage is satisfied by prepayment, any prepaid interest</w:t>
      </w:r>
      <w:r>
        <w:rPr>
          <w:color w:val="231F20"/>
          <w:spacing w:val="-1"/>
        </w:rPr>
        <w:t> </w:t>
      </w:r>
      <w:r>
        <w:rPr>
          <w:color w:val="231F20"/>
        </w:rPr>
        <w:t>not</w:t>
      </w:r>
      <w:r>
        <w:rPr>
          <w:color w:val="231F20"/>
          <w:spacing w:val="-1"/>
        </w:rPr>
        <w:t> </w:t>
      </w:r>
      <w:r>
        <w:rPr>
          <w:color w:val="231F20"/>
        </w:rPr>
        <w:t>yet</w:t>
      </w:r>
      <w:r>
        <w:rPr>
          <w:color w:val="231F20"/>
          <w:spacing w:val="-1"/>
        </w:rPr>
        <w:t> </w:t>
      </w:r>
      <w:r>
        <w:rPr>
          <w:color w:val="231F20"/>
        </w:rPr>
        <w:t>accrued</w:t>
      </w:r>
      <w:r>
        <w:rPr>
          <w:color w:val="231F20"/>
          <w:spacing w:val="-1"/>
        </w:rPr>
        <w:t> </w:t>
      </w:r>
      <w:r>
        <w:rPr>
          <w:color w:val="231F20"/>
        </w:rPr>
        <w:t>—</w:t>
      </w:r>
      <w:r>
        <w:rPr>
          <w:color w:val="231F20"/>
          <w:spacing w:val="-1"/>
        </w:rPr>
        <w:t> </w:t>
      </w:r>
      <w:r>
        <w:rPr>
          <w:color w:val="231F20"/>
        </w:rPr>
        <w:t>undeducted</w:t>
      </w:r>
      <w:r>
        <w:rPr>
          <w:color w:val="231F20"/>
          <w:spacing w:val="-1"/>
        </w:rPr>
        <w:t> </w:t>
      </w:r>
      <w:r>
        <w:rPr>
          <w:color w:val="231F20"/>
        </w:rPr>
        <w:t>points</w:t>
      </w:r>
      <w:r>
        <w:rPr>
          <w:color w:val="231F20"/>
          <w:spacing w:val="-1"/>
        </w:rPr>
        <w:t> </w:t>
      </w:r>
      <w:r>
        <w:rPr>
          <w:color w:val="231F20"/>
        </w:rPr>
        <w:t>—</w:t>
      </w:r>
      <w:r>
        <w:rPr>
          <w:color w:val="231F20"/>
          <w:spacing w:val="-1"/>
        </w:rPr>
        <w:t> </w:t>
      </w:r>
      <w:r>
        <w:rPr>
          <w:color w:val="231F20"/>
        </w:rPr>
        <w:t>may then be deducted.</w:t>
      </w:r>
    </w:p>
    <w:p>
      <w:pPr>
        <w:pStyle w:val="BodyText"/>
        <w:spacing w:before="93"/>
        <w:ind w:left="319" w:right="457"/>
        <w:jc w:val="both"/>
      </w:pPr>
      <w:r>
        <w:rPr/>
        <w:br w:type="column"/>
      </w:r>
      <w:r>
        <w:rPr>
          <w:color w:val="231F20"/>
        </w:rPr>
        <w:t>Excluded from the life-of-loan accrued reporting treatment is interest paid on a mortgage which </w:t>
      </w:r>
      <w:r>
        <w:rPr>
          <w:color w:val="231F20"/>
          <w:spacing w:val="-2"/>
        </w:rPr>
        <w:t>finances: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200" w:after="0"/>
        <w:ind w:left="948" w:right="458" w:hanging="270"/>
        <w:jc w:val="left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purchase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owner-occupied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primary residence; or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  <w:tab w:pos="1700" w:val="left" w:leader="none"/>
          <w:tab w:pos="3283" w:val="left" w:leader="none"/>
          <w:tab w:pos="4035" w:val="left" w:leader="none"/>
          <w:tab w:pos="4420" w:val="left" w:leader="none"/>
          <w:tab w:pos="4866" w:val="left" w:leader="none"/>
        </w:tabs>
        <w:spacing w:line="240" w:lineRule="auto" w:before="90" w:after="0"/>
        <w:ind w:left="948" w:right="458" w:hanging="270"/>
        <w:jc w:val="left"/>
        <w:rPr>
          <w:sz w:val="22"/>
        </w:rPr>
      </w:pPr>
      <w:r>
        <w:rPr>
          <w:color w:val="231F20"/>
          <w:spacing w:val="-4"/>
          <w:sz w:val="22"/>
        </w:rPr>
        <w:t>home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improvements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made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to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an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owner- </w:t>
      </w:r>
      <w:r>
        <w:rPr>
          <w:color w:val="231F20"/>
          <w:sz w:val="22"/>
        </w:rPr>
        <w:t>occupied primary residence.</w:t>
      </w:r>
    </w:p>
    <w:p>
      <w:pPr>
        <w:pStyle w:val="BodyText"/>
        <w:spacing w:before="180"/>
        <w:ind w:left="318" w:right="458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entire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amount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points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paid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mortgage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funding </w:t>
      </w:r>
      <w:r>
        <w:rPr>
          <w:color w:val="231F20"/>
        </w:rPr>
        <w:t>the purchase of the home you will occupy — not a second or vacation home — is allowed as a personal deduction in the year the mortgage is originated.</w:t>
      </w:r>
      <w:r>
        <w:rPr>
          <w:color w:val="231F20"/>
          <w:spacing w:val="80"/>
        </w:rPr>
        <w:t> </w:t>
      </w:r>
      <w:r>
        <w:rPr>
          <w:color w:val="231F20"/>
        </w:rPr>
        <w:t>This</w:t>
      </w:r>
      <w:r>
        <w:rPr>
          <w:color w:val="231F20"/>
          <w:spacing w:val="38"/>
        </w:rPr>
        <w:t> </w:t>
      </w:r>
      <w:r>
        <w:rPr>
          <w:color w:val="231F20"/>
        </w:rPr>
        <w:t>immediate</w:t>
      </w:r>
      <w:r>
        <w:rPr>
          <w:color w:val="231F20"/>
          <w:spacing w:val="38"/>
        </w:rPr>
        <w:t> </w:t>
      </w:r>
      <w:r>
        <w:rPr>
          <w:color w:val="231F20"/>
        </w:rPr>
        <w:t>deduction</w:t>
      </w:r>
      <w:r>
        <w:rPr>
          <w:color w:val="231F20"/>
          <w:spacing w:val="38"/>
        </w:rPr>
        <w:t> </w:t>
      </w:r>
      <w:r>
        <w:rPr>
          <w:color w:val="231F20"/>
        </w:rPr>
        <w:t>applies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all</w:t>
      </w:r>
      <w:r>
        <w:rPr>
          <w:color w:val="231F20"/>
          <w:spacing w:val="38"/>
        </w:rPr>
        <w:t> </w:t>
      </w:r>
      <w:r>
        <w:rPr>
          <w:color w:val="231F20"/>
        </w:rPr>
        <w:t>points</w:t>
      </w:r>
      <w:r>
        <w:rPr>
          <w:color w:val="231F20"/>
          <w:spacing w:val="38"/>
        </w:rPr>
        <w:t> </w:t>
      </w:r>
      <w:r>
        <w:rPr>
          <w:color w:val="231F20"/>
        </w:rPr>
        <w:t>paid in connection with the mortgage which finances the purchase or improvement of your primary home.</w:t>
      </w:r>
    </w:p>
    <w:p>
      <w:pPr>
        <w:pStyle w:val="BodyText"/>
        <w:spacing w:before="200"/>
        <w:ind w:left="318" w:right="457"/>
        <w:jc w:val="both"/>
      </w:pPr>
      <w:r>
        <w:rPr>
          <w:color w:val="231F20"/>
        </w:rPr>
        <w:t>When your lender pays the points as a </w:t>
      </w:r>
      <w:r>
        <w:rPr>
          <w:i/>
          <w:color w:val="231F20"/>
        </w:rPr>
        <w:t>discount </w:t>
      </w:r>
      <w:r>
        <w:rPr>
          <w:color w:val="231F20"/>
        </w:rPr>
        <w:t>or</w:t>
      </w:r>
      <w:r>
        <w:rPr>
          <w:color w:val="231F20"/>
          <w:spacing w:val="80"/>
        </w:rPr>
        <w:t> </w:t>
      </w:r>
      <w:r>
        <w:rPr>
          <w:color w:val="231F20"/>
        </w:rPr>
        <w:t>an </w:t>
      </w:r>
      <w:r>
        <w:rPr>
          <w:i/>
          <w:color w:val="231F20"/>
        </w:rPr>
        <w:t>add-on </w:t>
      </w:r>
      <w:r>
        <w:rPr>
          <w:color w:val="231F20"/>
        </w:rPr>
        <w:t>to your mortgage, the points — as prepaid interest</w:t>
      </w:r>
      <w:r>
        <w:rPr>
          <w:color w:val="231F20"/>
          <w:spacing w:val="-10"/>
        </w:rPr>
        <w:t> </w:t>
      </w:r>
      <w:r>
        <w:rPr>
          <w:color w:val="231F20"/>
        </w:rPr>
        <w:t>withheld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lender</w:t>
      </w:r>
      <w:r>
        <w:rPr>
          <w:color w:val="231F20"/>
          <w:spacing w:val="-10"/>
        </w:rPr>
        <w:t> </w:t>
      </w:r>
      <w:r>
        <w:rPr>
          <w:color w:val="231F20"/>
        </w:rPr>
        <w:t>—</w:t>
      </w:r>
      <w:r>
        <w:rPr>
          <w:color w:val="231F20"/>
          <w:spacing w:val="-10"/>
        </w:rPr>
        <w:t> </w:t>
      </w:r>
      <w:r>
        <w:rPr>
          <w:color w:val="231F20"/>
        </w:rPr>
        <w:t>need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deducted annually as they accrue over the life of the mortgage.</w:t>
      </w:r>
    </w:p>
    <w:p>
      <w:pPr>
        <w:pStyle w:val="BodyText"/>
        <w:spacing w:before="200"/>
        <w:ind w:left="318" w:right="458"/>
        <w:jc w:val="both"/>
      </w:pPr>
      <w:r>
        <w:rPr>
          <w:color w:val="231F20"/>
        </w:rPr>
        <w:t>Your tax preparer knows how to report your points as a personal deduction.</w:t>
      </w:r>
    </w:p>
    <w:p>
      <w:pPr>
        <w:spacing w:after="0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98074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48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5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7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8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948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2024-09-08T23:04:30Z</dcterms:created>
  <dcterms:modified xsi:type="dcterms:W3CDTF">2024-09-08T23:04:30Z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