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8"/>
        </w:rPr>
      </w:pPr>
    </w:p>
    <w:p>
      <w:pPr>
        <w:pStyle w:val="BodyText"/>
        <w:spacing w:before="347"/>
        <w:rPr>
          <w:rFonts w:ascii="Times New Roman"/>
          <w:sz w:val="58"/>
        </w:rPr>
      </w:pPr>
    </w:p>
    <w:p>
      <w:pPr>
        <w:pStyle w:val="Title"/>
        <w:spacing w:line="249" w:lineRule="auto"/>
        <w:ind w:right="1541"/>
      </w:pPr>
      <w:r>
        <w:rPr>
          <w:color w:val="FFFFFF"/>
          <w:w w:val="115"/>
        </w:rPr>
        <w:t>What</w:t>
      </w:r>
      <w:r>
        <w:rPr>
          <w:color w:val="FFFFFF"/>
          <w:spacing w:val="-12"/>
          <w:w w:val="115"/>
        </w:rPr>
        <w:t> </w:t>
      </w:r>
      <w:r>
        <w:rPr>
          <w:color w:val="FFFFFF"/>
          <w:w w:val="115"/>
        </w:rPr>
        <w:t>is</w:t>
      </w:r>
      <w:r>
        <w:rPr>
          <w:color w:val="FFFFFF"/>
          <w:spacing w:val="-12"/>
          <w:w w:val="115"/>
        </w:rPr>
        <w:t> </w:t>
      </w:r>
      <w:r>
        <w:rPr>
          <w:color w:val="FFFFFF"/>
          <w:w w:val="115"/>
        </w:rPr>
        <w:t>a </w:t>
      </w:r>
      <w:r>
        <w:rPr>
          <w:color w:val="FFFFFF"/>
          <w:spacing w:val="-2"/>
        </w:rPr>
        <w:t>“due-on</w:t>
      </w:r>
    </w:p>
    <w:p>
      <w:pPr>
        <w:pStyle w:val="Title"/>
        <w:spacing w:before="5"/>
        <w:ind w:left="7782" w:firstLine="0"/>
      </w:pPr>
      <w:r>
        <w:rPr>
          <w:color w:val="FFFFFF"/>
          <w:spacing w:val="-2"/>
          <w:w w:val="110"/>
        </w:rPr>
        <w:t>clause”?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2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BodyText"/>
        <w:spacing w:before="93"/>
        <w:ind w:left="101" w:right="38"/>
        <w:jc w:val="both"/>
      </w:pPr>
      <w:r>
        <w:rPr>
          <w:b/>
          <w:color w:val="009D96"/>
        </w:rPr>
        <w:t>A: </w:t>
      </w:r>
      <w:r>
        <w:rPr>
          <w:color w:val="231F20"/>
        </w:rPr>
        <w:t>The due-on clause is a trust deed provision which </w:t>
      </w:r>
      <w:r>
        <w:rPr>
          <w:color w:val="231F20"/>
          <w:spacing w:val="-2"/>
        </w:rPr>
        <w:t>allows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lender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call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debt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immediately payable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transfer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legal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equitable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ownership,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prohibited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law.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primary</w:t>
      </w:r>
      <w:r>
        <w:rPr>
          <w:color w:val="231F20"/>
          <w:spacing w:val="-5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triggering the lender’s due-on clause and a call for immediate payoff of the debt is the sale of the property liened by the trust deed.</w:t>
      </w:r>
    </w:p>
    <w:p>
      <w:pPr>
        <w:pStyle w:val="BodyText"/>
        <w:spacing w:before="180"/>
        <w:ind w:left="101" w:right="38"/>
        <w:jc w:val="both"/>
      </w:pP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due-on</w:t>
      </w:r>
      <w:r>
        <w:rPr>
          <w:color w:val="231F20"/>
          <w:spacing w:val="-15"/>
        </w:rPr>
        <w:t> </w:t>
      </w:r>
      <w:r>
        <w:rPr>
          <w:color w:val="231F20"/>
        </w:rPr>
        <w:t>clause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</w:rPr>
        <w:t>only</w:t>
      </w:r>
      <w:r>
        <w:rPr>
          <w:color w:val="231F20"/>
          <w:spacing w:val="-15"/>
        </w:rPr>
        <w:t> </w:t>
      </w:r>
      <w:r>
        <w:rPr>
          <w:color w:val="231F20"/>
        </w:rPr>
        <w:t>triggered</w:t>
      </w:r>
      <w:r>
        <w:rPr>
          <w:color w:val="231F20"/>
          <w:spacing w:val="-15"/>
        </w:rPr>
        <w:t> </w:t>
      </w:r>
      <w:r>
        <w:rPr>
          <w:color w:val="231F20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sale</w:t>
      </w:r>
      <w:r>
        <w:rPr>
          <w:color w:val="231F20"/>
          <w:spacing w:val="-15"/>
        </w:rPr>
        <w:t> </w:t>
      </w:r>
      <w:r>
        <w:rPr>
          <w:color w:val="231F20"/>
        </w:rPr>
        <w:t>using a grant deed or quitclaim deed, but by other </w:t>
      </w:r>
      <w:r>
        <w:rPr>
          <w:color w:val="231F20"/>
        </w:rPr>
        <w:t>transfers of legal or equitable ownership of real estate to a buyer, recorded or not, including: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both"/>
        <w:rPr>
          <w:sz w:val="22"/>
        </w:rPr>
      </w:pPr>
      <w:r>
        <w:rPr>
          <w:color w:val="231F20"/>
          <w:sz w:val="22"/>
        </w:rPr>
        <w:t>land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sales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contracts;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both"/>
        <w:rPr>
          <w:sz w:val="22"/>
        </w:rPr>
      </w:pPr>
      <w:r>
        <w:rPr>
          <w:color w:val="231F20"/>
          <w:sz w:val="22"/>
        </w:rPr>
        <w:t>lease-option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agreements;</w:t>
      </w:r>
      <w:r>
        <w:rPr>
          <w:color w:val="231F20"/>
          <w:spacing w:val="-5"/>
          <w:sz w:val="22"/>
        </w:rPr>
        <w:t> and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90" w:after="0"/>
        <w:ind w:left="551" w:right="38" w:hanging="270"/>
        <w:jc w:val="both"/>
        <w:rPr>
          <w:sz w:val="22"/>
        </w:rPr>
      </w:pPr>
      <w:r>
        <w:rPr>
          <w:color w:val="231F20"/>
          <w:sz w:val="22"/>
        </w:rPr>
        <w:t>wraparound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carryback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devices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also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known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all- inclusive trust deeds (AITDs).</w:t>
      </w:r>
    </w:p>
    <w:p>
      <w:pPr>
        <w:pStyle w:val="BodyText"/>
        <w:spacing w:before="180"/>
        <w:ind w:left="101"/>
      </w:pPr>
      <w:r>
        <w:rPr>
          <w:color w:val="231F20"/>
        </w:rPr>
        <w:t>The due-on clause, on any type of property, is also</w:t>
      </w:r>
      <w:r>
        <w:rPr>
          <w:color w:val="231F20"/>
          <w:spacing w:val="40"/>
        </w:rPr>
        <w:t> </w:t>
      </w:r>
      <w:r>
        <w:rPr>
          <w:color w:val="231F20"/>
        </w:rPr>
        <w:t>triggered when leasing the property to a tenant for: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left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term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over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three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years; </w:t>
      </w:r>
      <w:r>
        <w:rPr>
          <w:color w:val="231F20"/>
          <w:spacing w:val="-5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90" w:after="0"/>
        <w:ind w:left="551" w:right="39" w:hanging="270"/>
        <w:jc w:val="left"/>
        <w:rPr>
          <w:sz w:val="22"/>
        </w:rPr>
      </w:pPr>
      <w:r>
        <w:rPr>
          <w:color w:val="231F20"/>
          <w:sz w:val="22"/>
        </w:rPr>
        <w:t>any term length when coupled with an option to </w:t>
      </w:r>
      <w:r>
        <w:rPr>
          <w:color w:val="231F20"/>
          <w:spacing w:val="-4"/>
          <w:sz w:val="22"/>
        </w:rPr>
        <w:t>buy.</w:t>
      </w:r>
    </w:p>
    <w:p>
      <w:pPr>
        <w:pStyle w:val="BodyText"/>
        <w:spacing w:before="93"/>
        <w:ind w:left="101"/>
      </w:pPr>
      <w:r>
        <w:rPr/>
        <w:br w:type="column"/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assignment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modification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existing</w:t>
      </w:r>
      <w:r>
        <w:rPr>
          <w:color w:val="231F20"/>
          <w:spacing w:val="40"/>
        </w:rPr>
        <w:t> </w:t>
      </w:r>
      <w:r>
        <w:rPr>
          <w:color w:val="231F20"/>
        </w:rPr>
        <w:t>lease does not trigger the due-on clause, unless: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  <w:tab w:pos="551" w:val="left" w:leader="none"/>
        </w:tabs>
        <w:spacing w:line="240" w:lineRule="auto" w:before="90" w:after="0"/>
        <w:ind w:left="551" w:right="118" w:hanging="271"/>
        <w:jc w:val="left"/>
        <w:rPr>
          <w:sz w:val="22"/>
        </w:rPr>
      </w:pPr>
      <w:r>
        <w:rPr>
          <w:color w:val="231F20"/>
          <w:sz w:val="22"/>
        </w:rPr>
        <w:t>the term of the lease is extended beyond three years; or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left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purchase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option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granted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tenant.</w:t>
      </w:r>
    </w:p>
    <w:p>
      <w:pPr>
        <w:pStyle w:val="BodyText"/>
        <w:spacing w:before="180"/>
        <w:ind w:left="101" w:right="117"/>
        <w:jc w:val="both"/>
      </w:pPr>
      <w:r>
        <w:rPr>
          <w:color w:val="231F20"/>
        </w:rPr>
        <w:t>On owner-occupied, one-to-four unit residential property, transfers that do not trigger due-on enforcement include: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90" w:after="0"/>
        <w:ind w:left="551" w:right="118" w:hanging="270"/>
        <w:jc w:val="both"/>
        <w:rPr>
          <w:sz w:val="22"/>
        </w:rPr>
      </w:pPr>
      <w:r>
        <w:rPr>
          <w:color w:val="231F20"/>
          <w:sz w:val="22"/>
        </w:rPr>
        <w:t>the creation of a junior lien where the owner continues to occupy;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both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transfer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spouse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child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who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occupies;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90" w:after="0"/>
        <w:ind w:left="551" w:right="117" w:hanging="270"/>
        <w:jc w:val="both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transfer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inter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vivos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trust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when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owner continues to occupy;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0" w:after="0"/>
        <w:ind w:left="550" w:right="0" w:hanging="269"/>
        <w:jc w:val="both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death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joint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tenant;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5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90" w:after="0"/>
        <w:ind w:left="551" w:right="118" w:hanging="270"/>
        <w:jc w:val="both"/>
        <w:rPr>
          <w:sz w:val="22"/>
        </w:rPr>
      </w:pPr>
      <w:r>
        <w:rPr>
          <w:color w:val="231F20"/>
          <w:sz w:val="22"/>
        </w:rPr>
        <w:t>a transfer upon the owner’s death to a relative who occupies.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0" w:bottom="280" w:left="620" w:right="600"/>
          <w:cols w:num="2" w:equalWidth="0">
            <w:col w:w="5362" w:space="217"/>
            <w:col w:w="5441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0</wp:posOffset>
                </wp:positionH>
                <wp:positionV relativeFrom="page">
                  <wp:posOffset>-19050</wp:posOffset>
                </wp:positionV>
                <wp:extent cx="7791450" cy="34651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91450" cy="3465195"/>
                          <a:chExt cx="7791450" cy="34651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7772400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82772" y="19050"/>
                            <a:ext cx="4389755" cy="3427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755" h="3427095">
                                <a:moveTo>
                                  <a:pt x="2533395" y="0"/>
                                </a:moveTo>
                                <a:lnTo>
                                  <a:pt x="0" y="0"/>
                                </a:lnTo>
                                <a:lnTo>
                                  <a:pt x="2225649" y="3426967"/>
                                </a:lnTo>
                                <a:lnTo>
                                  <a:pt x="4389627" y="3426967"/>
                                </a:lnTo>
                                <a:lnTo>
                                  <a:pt x="4389627" y="2546074"/>
                                </a:lnTo>
                                <a:lnTo>
                                  <a:pt x="2533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9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56076" y="114242"/>
                            <a:ext cx="2155825" cy="328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825" h="3284220">
                                <a:moveTo>
                                  <a:pt x="0" y="0"/>
                                </a:moveTo>
                                <a:lnTo>
                                  <a:pt x="2155698" y="328418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4542" y="0"/>
                            <a:ext cx="2287905" cy="3465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3465195">
                                <a:moveTo>
                                  <a:pt x="38100" y="19050"/>
                                </a:moveTo>
                                <a:lnTo>
                                  <a:pt x="32512" y="5588"/>
                                </a:lnTo>
                                <a:lnTo>
                                  <a:pt x="19050" y="0"/>
                                </a:lnTo>
                                <a:lnTo>
                                  <a:pt x="5575" y="5588"/>
                                </a:lnTo>
                                <a:lnTo>
                                  <a:pt x="0" y="19050"/>
                                </a:lnTo>
                                <a:lnTo>
                                  <a:pt x="5575" y="32524"/>
                                </a:lnTo>
                                <a:lnTo>
                                  <a:pt x="19050" y="38100"/>
                                </a:lnTo>
                                <a:lnTo>
                                  <a:pt x="32512" y="32524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  <a:path w="2287905" h="3465195">
                                <a:moveTo>
                                  <a:pt x="2287524" y="3446018"/>
                                </a:moveTo>
                                <a:lnTo>
                                  <a:pt x="2281936" y="3432556"/>
                                </a:lnTo>
                                <a:lnTo>
                                  <a:pt x="2268474" y="3426968"/>
                                </a:lnTo>
                                <a:lnTo>
                                  <a:pt x="2254999" y="3432556"/>
                                </a:lnTo>
                                <a:lnTo>
                                  <a:pt x="2249424" y="3446018"/>
                                </a:lnTo>
                                <a:lnTo>
                                  <a:pt x="2254999" y="3459492"/>
                                </a:lnTo>
                                <a:lnTo>
                                  <a:pt x="2268474" y="3465068"/>
                                </a:lnTo>
                                <a:lnTo>
                                  <a:pt x="2281936" y="3459492"/>
                                </a:lnTo>
                                <a:lnTo>
                                  <a:pt x="2287524" y="3446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79171" y="19050"/>
                            <a:ext cx="2093595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2851785">
                                <a:moveTo>
                                  <a:pt x="0" y="0"/>
                                </a:moveTo>
                                <a:lnTo>
                                  <a:pt x="2093228" y="285163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.500007pt;width:613.5pt;height:272.850pt;mso-position-horizontal-relative:page;mso-position-vertical-relative:page;z-index:-15769600" id="docshapegroup1" coordorigin="0,-30" coordsize="12270,5457">
                <v:shape style="position:absolute;left:0;top:0;width:12240;height:5400" type="#_x0000_t75" id="docshape2" stroked="false">
                  <v:imagedata r:id="rId5" o:title=""/>
                </v:shape>
                <v:shape style="position:absolute;left:5327;top:0;width:6913;height:5397" id="docshape3" coordorigin="5327,0" coordsize="6913,5397" path="m9317,0l5327,0,8832,5397,12240,5397,12240,4010,9317,0xe" filled="true" fillcolor="#009d96" stroked="false">
                  <v:path arrowok="t"/>
                  <v:fill opacity="52428f" type="solid"/>
                </v:shape>
                <v:line style="position:absolute" from="5758,150" to="9152,5322" stroked="true" strokeweight="3pt" strokecolor="#ffffff">
                  <v:stroke dashstyle="dot"/>
                </v:line>
                <v:shape style="position:absolute;left:5629;top:-30;width:3603;height:5457" id="docshape4" coordorigin="5629,-30" coordsize="3603,5457" path="m5689,0l5680,-21,5659,-30,5638,-21,5629,0,5638,21,5659,30,5680,21,5689,0xm9232,5397l9223,5376,9202,5367,9180,5376,9172,5397,9180,5418,9202,5427,9223,5418,9232,5397xe" filled="true" fillcolor="#ffffff" stroked="false">
                  <v:path arrowok="t"/>
                  <v:fill type="solid"/>
                </v:shape>
                <v:line style="position:absolute" from="8944,0" to="12240,4491" stroked="true" strokeweight="3pt" strokecolor="#ffffff">
                  <v:stroke dashstyle="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9619488</wp:posOffset>
                </wp:positionV>
                <wp:extent cx="77724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9D96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.0pt,757.440002pt" to="612.0pt,757.440002pt" stroked="true" strokeweight="4pt" strokecolor="#009d96">
                <v:stroke dashstyle="dot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7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98075</wp:posOffset>
            </wp:positionV>
            <wp:extent cx="600807" cy="69290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7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78" w:right="53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356" w:hanging="600"/>
    </w:pPr>
    <w:rPr>
      <w:rFonts w:ascii="Times New Roman" w:hAnsi="Times New Roman" w:eastAsia="Times New Roman" w:cs="Times New Roman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550" w:hanging="269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2024-09-09T00:02:30Z</dcterms:created>
  <dcterms:modified xsi:type="dcterms:W3CDTF">2024-09-09T00:02:30Z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