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rFonts w:ascii="Times New Roman"/>
          <w:sz w:val="20"/>
        </w:rPr>
      </w:pPr>
      <w:r>
        <w:rPr>
          <w:rFonts w:ascii="Times New Roman"/>
          <w:sz w:val="20"/>
        </w:rPr>
        <mc:AlternateContent>
          <mc:Choice Requires="wps">
            <w:drawing>
              <wp:inline distT="0" distB="0" distL="0" distR="0">
                <wp:extent cx="7315200" cy="3731260"/>
                <wp:effectExtent l="0" t="0" r="0" b="2539"/>
                <wp:docPr id="1" name="Group 1"/>
                <wp:cNvGraphicFramePr>
                  <a:graphicFrameLocks/>
                </wp:cNvGraphicFramePr>
                <a:graphic>
                  <a:graphicData uri="http://schemas.microsoft.com/office/word/2010/wordprocessingGroup">
                    <wpg:wgp>
                      <wpg:cNvPr id="1" name="Group 1"/>
                      <wpg:cNvGrpSpPr/>
                      <wpg:grpSpPr>
                        <a:xfrm>
                          <a:off x="0" y="0"/>
                          <a:ext cx="7315200" cy="3731260"/>
                          <a:chExt cx="7315200" cy="3731260"/>
                        </a:xfrm>
                      </wpg:grpSpPr>
                      <pic:pic>
                        <pic:nvPicPr>
                          <pic:cNvPr id="2" name="Image 2"/>
                          <pic:cNvPicPr/>
                        </pic:nvPicPr>
                        <pic:blipFill>
                          <a:blip r:embed="rId5" cstate="print"/>
                          <a:stretch>
                            <a:fillRect/>
                          </a:stretch>
                        </pic:blipFill>
                        <pic:spPr>
                          <a:xfrm>
                            <a:off x="962297" y="0"/>
                            <a:ext cx="6026331" cy="3730752"/>
                          </a:xfrm>
                          <a:prstGeom prst="rect">
                            <a:avLst/>
                          </a:prstGeom>
                        </pic:spPr>
                      </pic:pic>
                      <wps:wsp>
                        <wps:cNvPr id="3" name="Textbox 3"/>
                        <wps:cNvSpPr txBox="1"/>
                        <wps:spPr>
                          <a:xfrm>
                            <a:off x="0" y="1996948"/>
                            <a:ext cx="7315200" cy="658495"/>
                          </a:xfrm>
                          <a:prstGeom prst="rect">
                            <a:avLst/>
                          </a:prstGeom>
                          <a:solidFill>
                            <a:srgbClr val="D2232A">
                              <a:alpha val="79998"/>
                            </a:srgbClr>
                          </a:solidFill>
                        </wps:spPr>
                        <wps:txbx>
                          <w:txbxContent>
                            <w:p>
                              <w:pPr>
                                <w:spacing w:before="262"/>
                                <w:ind w:left="0" w:right="0" w:firstLine="0"/>
                                <w:jc w:val="center"/>
                                <w:rPr>
                                  <w:rFonts w:ascii="Times New Roman"/>
                                  <w:b/>
                                  <w:color w:val="000000"/>
                                  <w:sz w:val="46"/>
                                </w:rPr>
                              </w:pPr>
                              <w:r>
                                <w:rPr>
                                  <w:rFonts w:ascii="Times New Roman"/>
                                  <w:b/>
                                  <w:color w:val="FFFFFF"/>
                                  <w:w w:val="110"/>
                                  <w:sz w:val="46"/>
                                </w:rPr>
                                <w:t>What</w:t>
                              </w:r>
                              <w:r>
                                <w:rPr>
                                  <w:rFonts w:ascii="Times New Roman"/>
                                  <w:b/>
                                  <w:color w:val="FFFFFF"/>
                                  <w:spacing w:val="-18"/>
                                  <w:w w:val="110"/>
                                  <w:sz w:val="46"/>
                                </w:rPr>
                                <w:t> </w:t>
                              </w:r>
                              <w:r>
                                <w:rPr>
                                  <w:rFonts w:ascii="Times New Roman"/>
                                  <w:b/>
                                  <w:color w:val="FFFFFF"/>
                                  <w:w w:val="110"/>
                                  <w:sz w:val="46"/>
                                </w:rPr>
                                <w:t>are</w:t>
                              </w:r>
                              <w:r>
                                <w:rPr>
                                  <w:rFonts w:ascii="Times New Roman"/>
                                  <w:b/>
                                  <w:color w:val="FFFFFF"/>
                                  <w:spacing w:val="-17"/>
                                  <w:w w:val="110"/>
                                  <w:sz w:val="46"/>
                                </w:rPr>
                                <w:t> </w:t>
                              </w:r>
                              <w:r>
                                <w:rPr>
                                  <w:rFonts w:ascii="Times New Roman"/>
                                  <w:b/>
                                  <w:color w:val="FFFFFF"/>
                                  <w:w w:val="110"/>
                                  <w:sz w:val="46"/>
                                </w:rPr>
                                <w:t>encumbrances</w:t>
                              </w:r>
                              <w:r>
                                <w:rPr>
                                  <w:rFonts w:ascii="Times New Roman"/>
                                  <w:b/>
                                  <w:color w:val="FFFFFF"/>
                                  <w:spacing w:val="-18"/>
                                  <w:w w:val="110"/>
                                  <w:sz w:val="46"/>
                                </w:rPr>
                                <w:t> </w:t>
                              </w:r>
                              <w:r>
                                <w:rPr>
                                  <w:rFonts w:ascii="Times New Roman"/>
                                  <w:b/>
                                  <w:color w:val="FFFFFF"/>
                                  <w:w w:val="110"/>
                                  <w:sz w:val="46"/>
                                </w:rPr>
                                <w:t>on</w:t>
                              </w:r>
                              <w:r>
                                <w:rPr>
                                  <w:rFonts w:ascii="Times New Roman"/>
                                  <w:b/>
                                  <w:color w:val="FFFFFF"/>
                                  <w:spacing w:val="-17"/>
                                  <w:w w:val="110"/>
                                  <w:sz w:val="46"/>
                                </w:rPr>
                                <w:t> </w:t>
                              </w:r>
                              <w:r>
                                <w:rPr>
                                  <w:rFonts w:ascii="Times New Roman"/>
                                  <w:b/>
                                  <w:color w:val="FFFFFF"/>
                                  <w:spacing w:val="-2"/>
                                  <w:w w:val="110"/>
                                  <w:sz w:val="46"/>
                                </w:rPr>
                                <w:t>title?</w:t>
                              </w:r>
                            </w:p>
                          </w:txbxContent>
                        </wps:txbx>
                        <wps:bodyPr wrap="square" lIns="0" tIns="0" rIns="0" bIns="0" rtlCol="0">
                          <a:noAutofit/>
                        </wps:bodyPr>
                      </wps:wsp>
                    </wpg:wgp>
                  </a:graphicData>
                </a:graphic>
              </wp:inline>
            </w:drawing>
          </mc:Choice>
          <mc:Fallback>
            <w:pict>
              <v:group style="width:576pt;height:293.8pt;mso-position-horizontal-relative:char;mso-position-vertical-relative:line" id="docshapegroup1" coordorigin="0,0" coordsize="11520,5876">
                <v:shape style="position:absolute;left:1515;top:0;width:9491;height:5876" type="#_x0000_t75" id="docshape2" stroked="false">
                  <v:imagedata r:id="rId5" o:title=""/>
                </v:shape>
                <v:shapetype id="_x0000_t202" o:spt="202" coordsize="21600,21600" path="m,l,21600r21600,l21600,xe">
                  <v:stroke joinstyle="miter"/>
                  <v:path gradientshapeok="t" o:connecttype="rect"/>
                </v:shapetype>
                <v:shape style="position:absolute;left:0;top:3144;width:11520;height:1037" type="#_x0000_t202" id="docshape3" filled="true" fillcolor="#d2232a" stroked="false">
                  <v:textbox inset="0,0,0,0">
                    <w:txbxContent>
                      <w:p>
                        <w:pPr>
                          <w:spacing w:before="262"/>
                          <w:ind w:left="0" w:right="0" w:firstLine="0"/>
                          <w:jc w:val="center"/>
                          <w:rPr>
                            <w:rFonts w:ascii="Times New Roman"/>
                            <w:b/>
                            <w:color w:val="000000"/>
                            <w:sz w:val="46"/>
                          </w:rPr>
                        </w:pPr>
                        <w:r>
                          <w:rPr>
                            <w:rFonts w:ascii="Times New Roman"/>
                            <w:b/>
                            <w:color w:val="FFFFFF"/>
                            <w:w w:val="110"/>
                            <w:sz w:val="46"/>
                          </w:rPr>
                          <w:t>What</w:t>
                        </w:r>
                        <w:r>
                          <w:rPr>
                            <w:rFonts w:ascii="Times New Roman"/>
                            <w:b/>
                            <w:color w:val="FFFFFF"/>
                            <w:spacing w:val="-18"/>
                            <w:w w:val="110"/>
                            <w:sz w:val="46"/>
                          </w:rPr>
                          <w:t> </w:t>
                        </w:r>
                        <w:r>
                          <w:rPr>
                            <w:rFonts w:ascii="Times New Roman"/>
                            <w:b/>
                            <w:color w:val="FFFFFF"/>
                            <w:w w:val="110"/>
                            <w:sz w:val="46"/>
                          </w:rPr>
                          <w:t>are</w:t>
                        </w:r>
                        <w:r>
                          <w:rPr>
                            <w:rFonts w:ascii="Times New Roman"/>
                            <w:b/>
                            <w:color w:val="FFFFFF"/>
                            <w:spacing w:val="-17"/>
                            <w:w w:val="110"/>
                            <w:sz w:val="46"/>
                          </w:rPr>
                          <w:t> </w:t>
                        </w:r>
                        <w:r>
                          <w:rPr>
                            <w:rFonts w:ascii="Times New Roman"/>
                            <w:b/>
                            <w:color w:val="FFFFFF"/>
                            <w:w w:val="110"/>
                            <w:sz w:val="46"/>
                          </w:rPr>
                          <w:t>encumbrances</w:t>
                        </w:r>
                        <w:r>
                          <w:rPr>
                            <w:rFonts w:ascii="Times New Roman"/>
                            <w:b/>
                            <w:color w:val="FFFFFF"/>
                            <w:spacing w:val="-18"/>
                            <w:w w:val="110"/>
                            <w:sz w:val="46"/>
                          </w:rPr>
                          <w:t> </w:t>
                        </w:r>
                        <w:r>
                          <w:rPr>
                            <w:rFonts w:ascii="Times New Roman"/>
                            <w:b/>
                            <w:color w:val="FFFFFF"/>
                            <w:w w:val="110"/>
                            <w:sz w:val="46"/>
                          </w:rPr>
                          <w:t>on</w:t>
                        </w:r>
                        <w:r>
                          <w:rPr>
                            <w:rFonts w:ascii="Times New Roman"/>
                            <w:b/>
                            <w:color w:val="FFFFFF"/>
                            <w:spacing w:val="-17"/>
                            <w:w w:val="110"/>
                            <w:sz w:val="46"/>
                          </w:rPr>
                          <w:t> </w:t>
                        </w:r>
                        <w:r>
                          <w:rPr>
                            <w:rFonts w:ascii="Times New Roman"/>
                            <w:b/>
                            <w:color w:val="FFFFFF"/>
                            <w:spacing w:val="-2"/>
                            <w:w w:val="110"/>
                            <w:sz w:val="46"/>
                          </w:rPr>
                          <w:t>title?</w:t>
                        </w:r>
                      </w:p>
                    </w:txbxContent>
                  </v:textbox>
                  <v:fill opacity="52428f" type="solid"/>
                  <w10:wrap type="none"/>
                </v:shape>
              </v:group>
            </w:pict>
          </mc:Fallback>
        </mc:AlternateContent>
      </w:r>
      <w:r>
        <w:rPr>
          <w:rFonts w:ascii="Times New Roman"/>
          <w:sz w:val="20"/>
        </w:rPr>
      </w:r>
    </w:p>
    <w:p>
      <w:pPr>
        <w:pStyle w:val="BodyText"/>
        <w:rPr>
          <w:rFonts w:ascii="Times New Roman"/>
          <w:sz w:val="20"/>
        </w:rPr>
      </w:pPr>
    </w:p>
    <w:p>
      <w:pPr>
        <w:pStyle w:val="BodyText"/>
        <w:spacing w:before="46"/>
        <w:rPr>
          <w:rFonts w:ascii="Times New Roman"/>
          <w:sz w:val="20"/>
        </w:rPr>
      </w:pPr>
    </w:p>
    <w:p>
      <w:pPr>
        <w:spacing w:after="0"/>
        <w:rPr>
          <w:rFonts w:ascii="Times New Roman"/>
          <w:sz w:val="20"/>
        </w:rPr>
        <w:sectPr>
          <w:type w:val="continuous"/>
          <w:pgSz w:w="12240" w:h="15840"/>
          <w:pgMar w:top="380" w:bottom="0" w:left="260" w:right="260"/>
        </w:sectPr>
      </w:pPr>
    </w:p>
    <w:p>
      <w:pPr>
        <w:pStyle w:val="BodyText"/>
        <w:spacing w:before="94"/>
        <w:ind w:left="1224"/>
      </w:pPr>
      <w:r>
        <w:rPr/>
        <mc:AlternateContent>
          <mc:Choice Requires="wps">
            <w:drawing>
              <wp:anchor distT="0" distB="0" distL="0" distR="0" allowOverlap="1" layoutInCell="1" locked="0" behindDoc="1" simplePos="0" relativeHeight="487551488">
                <wp:simplePos x="0" y="0"/>
                <wp:positionH relativeFrom="page">
                  <wp:posOffset>457200</wp:posOffset>
                </wp:positionH>
                <wp:positionV relativeFrom="paragraph">
                  <wp:posOffset>21644</wp:posOffset>
                </wp:positionV>
                <wp:extent cx="384810" cy="40703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84810" cy="407034"/>
                        </a:xfrm>
                        <a:prstGeom prst="rect">
                          <a:avLst/>
                        </a:prstGeom>
                      </wps:spPr>
                      <wps:txbx>
                        <w:txbxContent>
                          <w:p>
                            <w:pPr>
                              <w:spacing w:line="640" w:lineRule="exact" w:before="0"/>
                              <w:ind w:left="0" w:right="0" w:firstLine="0"/>
                              <w:jc w:val="left"/>
                              <w:rPr>
                                <w:b/>
                                <w:sz w:val="57"/>
                              </w:rPr>
                            </w:pPr>
                            <w:r>
                              <w:rPr>
                                <w:b/>
                                <w:color w:val="D2232A"/>
                                <w:spacing w:val="-5"/>
                                <w:sz w:val="57"/>
                              </w:rPr>
                              <w:t>A:</w:t>
                            </w:r>
                          </w:p>
                        </w:txbxContent>
                      </wps:txbx>
                      <wps:bodyPr wrap="square" lIns="0" tIns="0" rIns="0" bIns="0" rtlCol="0">
                        <a:noAutofit/>
                      </wps:bodyPr>
                    </wps:wsp>
                  </a:graphicData>
                </a:graphic>
              </wp:anchor>
            </w:drawing>
          </mc:Choice>
          <mc:Fallback>
            <w:pict>
              <v:shape style="position:absolute;margin-left:36pt;margin-top:1.704252pt;width:30.3pt;height:32.0500pt;mso-position-horizontal-relative:page;mso-position-vertical-relative:paragraph;z-index:-15764992" type="#_x0000_t202" id="docshape4" filled="false" stroked="false">
                <v:textbox inset="0,0,0,0">
                  <w:txbxContent>
                    <w:p>
                      <w:pPr>
                        <w:spacing w:line="640" w:lineRule="exact" w:before="0"/>
                        <w:ind w:left="0" w:right="0" w:firstLine="0"/>
                        <w:jc w:val="left"/>
                        <w:rPr>
                          <w:b/>
                          <w:sz w:val="57"/>
                        </w:rPr>
                      </w:pPr>
                      <w:r>
                        <w:rPr>
                          <w:b/>
                          <w:color w:val="D2232A"/>
                          <w:spacing w:val="-5"/>
                          <w:sz w:val="57"/>
                        </w:rPr>
                        <w:t>A:</w:t>
                      </w:r>
                    </w:p>
                  </w:txbxContent>
                </v:textbox>
                <w10:wrap type="none"/>
              </v:shape>
            </w:pict>
          </mc:Fallback>
        </mc:AlternateContent>
      </w:r>
      <w:r>
        <w:rPr>
          <w:color w:val="231F20"/>
        </w:rPr>
        <w:t>An</w:t>
      </w:r>
      <w:r>
        <w:rPr>
          <w:color w:val="231F20"/>
          <w:spacing w:val="-4"/>
        </w:rPr>
        <w:t> </w:t>
      </w:r>
      <w:r>
        <w:rPr>
          <w:color w:val="231F20"/>
        </w:rPr>
        <w:t>encumbrance</w:t>
      </w:r>
      <w:r>
        <w:rPr>
          <w:color w:val="231F20"/>
          <w:spacing w:val="-4"/>
        </w:rPr>
        <w:t> </w:t>
      </w:r>
      <w:r>
        <w:rPr>
          <w:color w:val="231F20"/>
        </w:rPr>
        <w:t>is</w:t>
      </w:r>
      <w:r>
        <w:rPr>
          <w:color w:val="231F20"/>
          <w:spacing w:val="-4"/>
        </w:rPr>
        <w:t> </w:t>
      </w:r>
      <w:r>
        <w:rPr>
          <w:color w:val="231F20"/>
        </w:rPr>
        <w:t>a</w:t>
      </w:r>
      <w:r>
        <w:rPr>
          <w:color w:val="231F20"/>
          <w:spacing w:val="-4"/>
        </w:rPr>
        <w:t> </w:t>
      </w:r>
      <w:r>
        <w:rPr>
          <w:color w:val="231F20"/>
        </w:rPr>
        <w:t>claim</w:t>
      </w:r>
      <w:r>
        <w:rPr>
          <w:color w:val="231F20"/>
          <w:spacing w:val="-4"/>
        </w:rPr>
        <w:t> </w:t>
      </w:r>
      <w:r>
        <w:rPr>
          <w:color w:val="231F20"/>
        </w:rPr>
        <w:t>or</w:t>
      </w:r>
      <w:r>
        <w:rPr>
          <w:color w:val="231F20"/>
          <w:spacing w:val="-4"/>
        </w:rPr>
        <w:t> </w:t>
      </w:r>
      <w:r>
        <w:rPr>
          <w:color w:val="231F20"/>
        </w:rPr>
        <w:t>lien</w:t>
      </w:r>
      <w:r>
        <w:rPr>
          <w:color w:val="231F20"/>
          <w:spacing w:val="-4"/>
        </w:rPr>
        <w:t> </w:t>
      </w:r>
      <w:r>
        <w:rPr>
          <w:color w:val="231F20"/>
        </w:rPr>
        <w:t>on</w:t>
      </w:r>
      <w:r>
        <w:rPr>
          <w:color w:val="231F20"/>
          <w:spacing w:val="-4"/>
        </w:rPr>
        <w:t> </w:t>
      </w:r>
      <w:r>
        <w:rPr>
          <w:color w:val="231F20"/>
        </w:rPr>
        <w:t>a</w:t>
      </w:r>
      <w:r>
        <w:rPr>
          <w:color w:val="231F20"/>
          <w:spacing w:val="-4"/>
        </w:rPr>
        <w:t> </w:t>
      </w:r>
      <w:r>
        <w:rPr>
          <w:color w:val="231F20"/>
        </w:rPr>
        <w:t>parcel of</w:t>
      </w:r>
      <w:r>
        <w:rPr>
          <w:color w:val="231F20"/>
          <w:spacing w:val="25"/>
        </w:rPr>
        <w:t> </w:t>
      </w:r>
      <w:r>
        <w:rPr>
          <w:color w:val="231F20"/>
        </w:rPr>
        <w:t>real</w:t>
      </w:r>
      <w:r>
        <w:rPr>
          <w:color w:val="231F20"/>
          <w:spacing w:val="25"/>
        </w:rPr>
        <w:t> </w:t>
      </w:r>
      <w:r>
        <w:rPr>
          <w:color w:val="231F20"/>
        </w:rPr>
        <w:t>estate</w:t>
      </w:r>
      <w:r>
        <w:rPr>
          <w:color w:val="231F20"/>
          <w:spacing w:val="25"/>
        </w:rPr>
        <w:t> </w:t>
      </w:r>
      <w:r>
        <w:rPr>
          <w:color w:val="231F20"/>
        </w:rPr>
        <w:t>and</w:t>
      </w:r>
      <w:r>
        <w:rPr>
          <w:color w:val="231F20"/>
          <w:spacing w:val="25"/>
        </w:rPr>
        <w:t> </w:t>
      </w:r>
      <w:r>
        <w:rPr>
          <w:color w:val="231F20"/>
        </w:rPr>
        <w:t>the</w:t>
      </w:r>
      <w:r>
        <w:rPr>
          <w:color w:val="231F20"/>
          <w:spacing w:val="25"/>
        </w:rPr>
        <w:t> </w:t>
      </w:r>
      <w:r>
        <w:rPr>
          <w:color w:val="231F20"/>
        </w:rPr>
        <w:t>ownership</w:t>
      </w:r>
      <w:r>
        <w:rPr>
          <w:color w:val="231F20"/>
          <w:spacing w:val="25"/>
        </w:rPr>
        <w:t> </w:t>
      </w:r>
      <w:r>
        <w:rPr>
          <w:color w:val="231F20"/>
        </w:rPr>
        <w:t>interests</w:t>
      </w:r>
      <w:r>
        <w:rPr>
          <w:color w:val="231F20"/>
          <w:spacing w:val="26"/>
        </w:rPr>
        <w:t> </w:t>
      </w:r>
      <w:r>
        <w:rPr>
          <w:color w:val="231F20"/>
          <w:spacing w:val="-5"/>
        </w:rPr>
        <w:t>in</w:t>
      </w:r>
    </w:p>
    <w:p>
      <w:pPr>
        <w:pStyle w:val="BodyText"/>
        <w:ind w:left="459"/>
        <w:jc w:val="both"/>
      </w:pPr>
      <w:r>
        <w:rPr>
          <w:color w:val="231F20"/>
        </w:rPr>
        <w:t>the</w:t>
      </w:r>
      <w:r>
        <w:rPr>
          <w:color w:val="231F20"/>
          <w:spacing w:val="-2"/>
        </w:rPr>
        <w:t> property.</w:t>
      </w:r>
    </w:p>
    <w:p>
      <w:pPr>
        <w:pStyle w:val="BodyText"/>
        <w:spacing w:before="180"/>
        <w:ind w:left="459"/>
        <w:jc w:val="both"/>
      </w:pPr>
      <w:r>
        <w:rPr>
          <w:color w:val="231F20"/>
        </w:rPr>
        <w:t>A preliminary title report (prelim) issued by a title insurance</w:t>
      </w:r>
      <w:r>
        <w:rPr>
          <w:color w:val="231F20"/>
          <w:spacing w:val="-10"/>
        </w:rPr>
        <w:t> </w:t>
      </w:r>
      <w:r>
        <w:rPr>
          <w:color w:val="231F20"/>
        </w:rPr>
        <w:t>company</w:t>
      </w:r>
      <w:r>
        <w:rPr>
          <w:color w:val="231F20"/>
          <w:spacing w:val="-10"/>
        </w:rPr>
        <w:t> </w:t>
      </w:r>
      <w:r>
        <w:rPr>
          <w:color w:val="231F20"/>
        </w:rPr>
        <w:t>is</w:t>
      </w:r>
      <w:r>
        <w:rPr>
          <w:color w:val="231F20"/>
          <w:spacing w:val="-10"/>
        </w:rPr>
        <w:t> </w:t>
      </w:r>
      <w:r>
        <w:rPr>
          <w:color w:val="231F20"/>
        </w:rPr>
        <w:t>intended</w:t>
      </w:r>
      <w:r>
        <w:rPr>
          <w:color w:val="231F20"/>
          <w:spacing w:val="-10"/>
        </w:rPr>
        <w:t> </w:t>
      </w:r>
      <w:r>
        <w:rPr>
          <w:color w:val="231F20"/>
        </w:rPr>
        <w:t>to</w:t>
      </w:r>
      <w:r>
        <w:rPr>
          <w:color w:val="231F20"/>
          <w:spacing w:val="-10"/>
        </w:rPr>
        <w:t> </w:t>
      </w:r>
      <w:r>
        <w:rPr>
          <w:color w:val="231F20"/>
        </w:rPr>
        <w:t>disclose</w:t>
      </w:r>
      <w:r>
        <w:rPr>
          <w:color w:val="231F20"/>
          <w:spacing w:val="-10"/>
        </w:rPr>
        <w:t> </w:t>
      </w:r>
      <w:r>
        <w:rPr>
          <w:color w:val="231F20"/>
        </w:rPr>
        <w:t>the</w:t>
      </w:r>
      <w:r>
        <w:rPr>
          <w:color w:val="231F20"/>
          <w:spacing w:val="-10"/>
        </w:rPr>
        <w:t> </w:t>
      </w:r>
      <w:r>
        <w:rPr>
          <w:color w:val="231F20"/>
        </w:rPr>
        <w:t>current vesting and all encumbrances reflected on the public record affecting a property’s title.</w:t>
      </w:r>
    </w:p>
    <w:p>
      <w:pPr>
        <w:pStyle w:val="BodyText"/>
        <w:spacing w:before="200"/>
        <w:ind w:left="459"/>
        <w:jc w:val="both"/>
      </w:pPr>
      <w:r>
        <w:rPr>
          <w:color w:val="231F20"/>
        </w:rPr>
        <w:t>Encumbrances</w:t>
      </w:r>
      <w:r>
        <w:rPr>
          <w:color w:val="231F20"/>
          <w:spacing w:val="-1"/>
        </w:rPr>
        <w:t> </w:t>
      </w:r>
      <w:r>
        <w:rPr>
          <w:color w:val="231F20"/>
        </w:rPr>
        <w:t>set out in a prelim </w:t>
      </w:r>
      <w:r>
        <w:rPr>
          <w:color w:val="231F20"/>
          <w:spacing w:val="-2"/>
        </w:rPr>
        <w:t>include:</w:t>
      </w:r>
    </w:p>
    <w:p>
      <w:pPr>
        <w:pStyle w:val="ListParagraph"/>
        <w:numPr>
          <w:ilvl w:val="0"/>
          <w:numId w:val="1"/>
        </w:numPr>
        <w:tabs>
          <w:tab w:pos="998" w:val="left" w:leader="none"/>
        </w:tabs>
        <w:spacing w:line="240" w:lineRule="auto" w:before="200" w:after="0"/>
        <w:ind w:left="998" w:right="0" w:hanging="269"/>
        <w:jc w:val="left"/>
        <w:rPr>
          <w:sz w:val="22"/>
        </w:rPr>
      </w:pPr>
      <w:r>
        <w:rPr>
          <w:color w:val="231F20"/>
          <w:sz w:val="22"/>
        </w:rPr>
        <w:t>general</w:t>
      </w:r>
      <w:r>
        <w:rPr>
          <w:color w:val="231F20"/>
          <w:spacing w:val="-5"/>
          <w:sz w:val="22"/>
        </w:rPr>
        <w:t> </w:t>
      </w:r>
      <w:r>
        <w:rPr>
          <w:color w:val="231F20"/>
          <w:sz w:val="22"/>
        </w:rPr>
        <w:t>and</w:t>
      </w:r>
      <w:r>
        <w:rPr>
          <w:color w:val="231F20"/>
          <w:spacing w:val="-5"/>
          <w:sz w:val="22"/>
        </w:rPr>
        <w:t> </w:t>
      </w:r>
      <w:r>
        <w:rPr>
          <w:color w:val="231F20"/>
          <w:sz w:val="22"/>
        </w:rPr>
        <w:t>special</w:t>
      </w:r>
      <w:r>
        <w:rPr>
          <w:color w:val="231F20"/>
          <w:spacing w:val="-4"/>
          <w:sz w:val="22"/>
        </w:rPr>
        <w:t> </w:t>
      </w:r>
      <w:r>
        <w:rPr>
          <w:color w:val="231F20"/>
          <w:spacing w:val="-2"/>
          <w:sz w:val="22"/>
        </w:rPr>
        <w:t>taxes;</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z w:val="22"/>
        </w:rPr>
        <w:t>assessments</w:t>
      </w:r>
      <w:r>
        <w:rPr>
          <w:color w:val="231F20"/>
          <w:spacing w:val="-1"/>
          <w:sz w:val="22"/>
        </w:rPr>
        <w:t> </w:t>
      </w:r>
      <w:r>
        <w:rPr>
          <w:color w:val="231F20"/>
          <w:sz w:val="22"/>
        </w:rPr>
        <w:t>and</w:t>
      </w:r>
      <w:r>
        <w:rPr>
          <w:color w:val="231F20"/>
          <w:spacing w:val="-1"/>
          <w:sz w:val="22"/>
        </w:rPr>
        <w:t> </w:t>
      </w:r>
      <w:r>
        <w:rPr>
          <w:color w:val="231F20"/>
          <w:spacing w:val="-2"/>
          <w:sz w:val="22"/>
        </w:rPr>
        <w:t>bonds;</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z w:val="22"/>
        </w:rPr>
        <w:t>covenants,</w:t>
      </w:r>
      <w:r>
        <w:rPr>
          <w:color w:val="231F20"/>
          <w:spacing w:val="-1"/>
          <w:sz w:val="22"/>
        </w:rPr>
        <w:t> </w:t>
      </w:r>
      <w:r>
        <w:rPr>
          <w:color w:val="231F20"/>
          <w:sz w:val="22"/>
        </w:rPr>
        <w:t>conditions and</w:t>
      </w:r>
      <w:r>
        <w:rPr>
          <w:color w:val="231F20"/>
          <w:spacing w:val="-1"/>
          <w:sz w:val="22"/>
        </w:rPr>
        <w:t> </w:t>
      </w:r>
      <w:r>
        <w:rPr>
          <w:color w:val="231F20"/>
          <w:sz w:val="22"/>
        </w:rPr>
        <w:t>restrictions </w:t>
      </w:r>
      <w:r>
        <w:rPr>
          <w:color w:val="231F20"/>
          <w:spacing w:val="-2"/>
          <w:sz w:val="22"/>
        </w:rPr>
        <w:t>(CC&amp;Rs);</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pacing w:val="-2"/>
          <w:sz w:val="22"/>
        </w:rPr>
        <w:t>easements;</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z w:val="22"/>
        </w:rPr>
        <w:t>rights of </w:t>
      </w:r>
      <w:r>
        <w:rPr>
          <w:color w:val="231F20"/>
          <w:spacing w:val="-4"/>
          <w:sz w:val="22"/>
        </w:rPr>
        <w:t>way;</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z w:val="22"/>
        </w:rPr>
        <w:t>liens; </w:t>
      </w:r>
      <w:r>
        <w:rPr>
          <w:color w:val="231F20"/>
          <w:spacing w:val="-5"/>
          <w:sz w:val="22"/>
        </w:rPr>
        <w:t>and</w:t>
      </w:r>
    </w:p>
    <w:p>
      <w:pPr>
        <w:pStyle w:val="ListParagraph"/>
        <w:numPr>
          <w:ilvl w:val="0"/>
          <w:numId w:val="1"/>
        </w:numPr>
        <w:tabs>
          <w:tab w:pos="998" w:val="left" w:leader="none"/>
        </w:tabs>
        <w:spacing w:line="240" w:lineRule="auto" w:before="180" w:after="0"/>
        <w:ind w:left="998" w:right="0" w:hanging="269"/>
        <w:jc w:val="left"/>
        <w:rPr>
          <w:sz w:val="22"/>
        </w:rPr>
      </w:pPr>
      <w:r>
        <w:rPr>
          <w:color w:val="231F20"/>
          <w:sz w:val="22"/>
        </w:rPr>
        <w:t>real</w:t>
      </w:r>
      <w:r>
        <w:rPr>
          <w:color w:val="231F20"/>
          <w:spacing w:val="-3"/>
          <w:sz w:val="22"/>
        </w:rPr>
        <w:t> </w:t>
      </w:r>
      <w:r>
        <w:rPr>
          <w:color w:val="231F20"/>
          <w:sz w:val="22"/>
        </w:rPr>
        <w:t>estate</w:t>
      </w:r>
      <w:r>
        <w:rPr>
          <w:color w:val="231F20"/>
          <w:spacing w:val="-2"/>
          <w:sz w:val="22"/>
        </w:rPr>
        <w:t> </w:t>
      </w:r>
      <w:r>
        <w:rPr>
          <w:color w:val="231F20"/>
          <w:sz w:val="22"/>
        </w:rPr>
        <w:t>interests</w:t>
      </w:r>
      <w:r>
        <w:rPr>
          <w:color w:val="231F20"/>
          <w:spacing w:val="-2"/>
          <w:sz w:val="22"/>
        </w:rPr>
        <w:t> </w:t>
      </w:r>
      <w:r>
        <w:rPr>
          <w:color w:val="231F20"/>
          <w:sz w:val="22"/>
        </w:rPr>
        <w:t>held</w:t>
      </w:r>
      <w:r>
        <w:rPr>
          <w:color w:val="231F20"/>
          <w:spacing w:val="-2"/>
          <w:sz w:val="22"/>
        </w:rPr>
        <w:t> </w:t>
      </w:r>
      <w:r>
        <w:rPr>
          <w:color w:val="231F20"/>
          <w:sz w:val="22"/>
        </w:rPr>
        <w:t>by</w:t>
      </w:r>
      <w:r>
        <w:rPr>
          <w:color w:val="231F20"/>
          <w:spacing w:val="-2"/>
          <w:sz w:val="22"/>
        </w:rPr>
        <w:t> others.</w:t>
      </w:r>
    </w:p>
    <w:p>
      <w:pPr>
        <w:pStyle w:val="BodyText"/>
        <w:spacing w:before="93"/>
        <w:ind w:left="319" w:right="457"/>
        <w:jc w:val="both"/>
      </w:pPr>
      <w:r>
        <w:rPr/>
        <w:br w:type="column"/>
      </w:r>
      <w:r>
        <w:rPr>
          <w:color w:val="231F20"/>
        </w:rPr>
        <w:t>The buyer, their agent and escrow review the report for encumbrances on title inconsistent with the terms for the seller’s delivery of title set in the purchase agreement and escrow instructions.</w:t>
      </w:r>
    </w:p>
    <w:p>
      <w:pPr>
        <w:pStyle w:val="BodyText"/>
        <w:spacing w:before="200"/>
        <w:ind w:left="319" w:right="457"/>
        <w:jc w:val="both"/>
      </w:pPr>
      <w:r>
        <w:rPr>
          <w:color w:val="231F20"/>
        </w:rPr>
        <w:t>However, both the seller’s agent and buyer’s agent review the prelim immediately for any reported conditions that may interfere with closing the </w:t>
      </w:r>
      <w:r>
        <w:rPr>
          <w:color w:val="231F20"/>
          <w:spacing w:val="-2"/>
        </w:rPr>
        <w:t>transaction.</w:t>
      </w:r>
    </w:p>
    <w:p>
      <w:pPr>
        <w:pStyle w:val="BodyText"/>
        <w:spacing w:before="200"/>
        <w:ind w:left="319" w:right="457"/>
        <w:jc w:val="both"/>
      </w:pPr>
      <w:r>
        <w:rPr>
          <w:color w:val="231F20"/>
        </w:rPr>
        <w:t>In practice, the buyer’s agent looks for title conditions which</w:t>
      </w:r>
      <w:r>
        <w:rPr>
          <w:color w:val="231F20"/>
          <w:spacing w:val="40"/>
        </w:rPr>
        <w:t> </w:t>
      </w:r>
      <w:r>
        <w:rPr>
          <w:color w:val="231F20"/>
        </w:rPr>
        <w:t>conflict</w:t>
      </w:r>
      <w:r>
        <w:rPr>
          <w:color w:val="231F20"/>
          <w:spacing w:val="40"/>
        </w:rPr>
        <w:t> </w:t>
      </w:r>
      <w:r>
        <w:rPr>
          <w:color w:val="231F20"/>
        </w:rPr>
        <w:t>with</w:t>
      </w:r>
      <w:r>
        <w:rPr>
          <w:color w:val="231F20"/>
          <w:spacing w:val="40"/>
        </w:rPr>
        <w:t> </w:t>
      </w:r>
      <w:r>
        <w:rPr>
          <w:color w:val="231F20"/>
        </w:rPr>
        <w:t>any</w:t>
      </w:r>
      <w:r>
        <w:rPr>
          <w:color w:val="231F20"/>
          <w:spacing w:val="40"/>
        </w:rPr>
        <w:t> </w:t>
      </w:r>
      <w:r>
        <w:rPr>
          <w:color w:val="231F20"/>
        </w:rPr>
        <w:t>intended</w:t>
      </w:r>
      <w:r>
        <w:rPr>
          <w:color w:val="231F20"/>
          <w:spacing w:val="40"/>
        </w:rPr>
        <w:t> </w:t>
      </w:r>
      <w:r>
        <w:rPr>
          <w:color w:val="231F20"/>
        </w:rPr>
        <w:t>use</w:t>
      </w:r>
      <w:r>
        <w:rPr>
          <w:color w:val="231F20"/>
          <w:spacing w:val="40"/>
        </w:rPr>
        <w:t> </w:t>
      </w:r>
      <w:r>
        <w:rPr>
          <w:color w:val="231F20"/>
        </w:rPr>
        <w:t>or</w:t>
      </w:r>
      <w:r>
        <w:rPr>
          <w:color w:val="231F20"/>
          <w:spacing w:val="40"/>
        </w:rPr>
        <w:t> </w:t>
      </w:r>
      <w:r>
        <w:rPr>
          <w:color w:val="231F20"/>
        </w:rPr>
        <w:t>change</w:t>
      </w:r>
      <w:r>
        <w:rPr>
          <w:color w:val="231F20"/>
          <w:spacing w:val="40"/>
        </w:rPr>
        <w:t> </w:t>
      </w:r>
      <w:r>
        <w:rPr>
          <w:color w:val="231F20"/>
        </w:rPr>
        <w:t>in the use of the property contemplated by the buyer. Interferences with use come in the form of unusual easements</w:t>
      </w:r>
      <w:r>
        <w:rPr>
          <w:color w:val="231F20"/>
          <w:spacing w:val="-16"/>
        </w:rPr>
        <w:t> </w:t>
      </w:r>
      <w:r>
        <w:rPr>
          <w:color w:val="231F20"/>
        </w:rPr>
        <w:t>or</w:t>
      </w:r>
      <w:r>
        <w:rPr>
          <w:color w:val="231F20"/>
          <w:spacing w:val="-15"/>
        </w:rPr>
        <w:t> </w:t>
      </w:r>
      <w:r>
        <w:rPr>
          <w:color w:val="231F20"/>
        </w:rPr>
        <w:t>use</w:t>
      </w:r>
      <w:r>
        <w:rPr>
          <w:color w:val="231F20"/>
          <w:spacing w:val="-15"/>
        </w:rPr>
        <w:t> </w:t>
      </w:r>
      <w:r>
        <w:rPr>
          <w:color w:val="231F20"/>
        </w:rPr>
        <w:t>restrictions</w:t>
      </w:r>
      <w:r>
        <w:rPr>
          <w:color w:val="231F20"/>
          <w:spacing w:val="-16"/>
        </w:rPr>
        <w:t> </w:t>
      </w:r>
      <w:r>
        <w:rPr>
          <w:color w:val="231F20"/>
        </w:rPr>
        <w:t>(CC&amp;Rs)</w:t>
      </w:r>
      <w:r>
        <w:rPr>
          <w:color w:val="231F20"/>
          <w:spacing w:val="-15"/>
        </w:rPr>
        <w:t> </w:t>
      </w:r>
      <w:r>
        <w:rPr>
          <w:color w:val="231F20"/>
        </w:rPr>
        <w:t>which</w:t>
      </w:r>
      <w:r>
        <w:rPr>
          <w:color w:val="231F20"/>
          <w:spacing w:val="-15"/>
        </w:rPr>
        <w:t> </w:t>
      </w:r>
      <w:r>
        <w:rPr>
          <w:color w:val="231F20"/>
        </w:rPr>
        <w:t>obstruct known plans the buyer has to make improvements.</w:t>
      </w:r>
    </w:p>
    <w:p>
      <w:pPr>
        <w:pStyle w:val="BodyText"/>
        <w:spacing w:before="201"/>
        <w:ind w:left="319" w:right="457"/>
        <w:jc w:val="both"/>
      </w:pPr>
      <w:r>
        <w:rPr>
          <w:color w:val="231F20"/>
        </w:rPr>
        <w:t>Ultimately,</w:t>
      </w:r>
      <w:r>
        <w:rPr>
          <w:color w:val="231F20"/>
          <w:spacing w:val="-4"/>
        </w:rPr>
        <w:t> </w:t>
      </w:r>
      <w:r>
        <w:rPr>
          <w:color w:val="231F20"/>
        </w:rPr>
        <w:t>the</w:t>
      </w:r>
      <w:r>
        <w:rPr>
          <w:color w:val="231F20"/>
          <w:spacing w:val="-4"/>
        </w:rPr>
        <w:t> </w:t>
      </w:r>
      <w:r>
        <w:rPr>
          <w:color w:val="231F20"/>
        </w:rPr>
        <w:t>escrow</w:t>
      </w:r>
      <w:r>
        <w:rPr>
          <w:color w:val="231F20"/>
          <w:spacing w:val="-4"/>
        </w:rPr>
        <w:t> </w:t>
      </w:r>
      <w:r>
        <w:rPr>
          <w:color w:val="231F20"/>
        </w:rPr>
        <w:t>officer,</w:t>
      </w:r>
      <w:r>
        <w:rPr>
          <w:color w:val="231F20"/>
          <w:spacing w:val="-4"/>
        </w:rPr>
        <w:t> </w:t>
      </w:r>
      <w:r>
        <w:rPr>
          <w:color w:val="231F20"/>
        </w:rPr>
        <w:t>on</w:t>
      </w:r>
      <w:r>
        <w:rPr>
          <w:color w:val="231F20"/>
          <w:spacing w:val="-4"/>
        </w:rPr>
        <w:t> </w:t>
      </w:r>
      <w:r>
        <w:rPr>
          <w:color w:val="231F20"/>
        </w:rPr>
        <w:t>review</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prelim, advises the seller of any need to eliminate defects or encumbrances</w:t>
      </w:r>
      <w:r>
        <w:rPr>
          <w:color w:val="231F20"/>
          <w:spacing w:val="-4"/>
        </w:rPr>
        <w:t> </w:t>
      </w:r>
      <w:r>
        <w:rPr>
          <w:color w:val="231F20"/>
        </w:rPr>
        <w:t>on</w:t>
      </w:r>
      <w:r>
        <w:rPr>
          <w:color w:val="231F20"/>
          <w:spacing w:val="-4"/>
        </w:rPr>
        <w:t> </w:t>
      </w:r>
      <w:r>
        <w:rPr>
          <w:color w:val="231F20"/>
        </w:rPr>
        <w:t>title</w:t>
      </w:r>
      <w:r>
        <w:rPr>
          <w:color w:val="231F20"/>
          <w:spacing w:val="-4"/>
        </w:rPr>
        <w:t> </w:t>
      </w:r>
      <w:r>
        <w:rPr>
          <w:color w:val="231F20"/>
        </w:rPr>
        <w:t>which</w:t>
      </w:r>
      <w:r>
        <w:rPr>
          <w:color w:val="231F20"/>
          <w:spacing w:val="-4"/>
        </w:rPr>
        <w:t> </w:t>
      </w:r>
      <w:r>
        <w:rPr>
          <w:color w:val="231F20"/>
        </w:rPr>
        <w:t>interfere</w:t>
      </w:r>
      <w:r>
        <w:rPr>
          <w:color w:val="231F20"/>
          <w:spacing w:val="-4"/>
        </w:rPr>
        <w:t> </w:t>
      </w:r>
      <w:r>
        <w:rPr>
          <w:color w:val="231F20"/>
        </w:rPr>
        <w:t>with</w:t>
      </w:r>
      <w:r>
        <w:rPr>
          <w:color w:val="231F20"/>
          <w:spacing w:val="-4"/>
        </w:rPr>
        <w:t> </w:t>
      </w:r>
      <w:r>
        <w:rPr>
          <w:color w:val="231F20"/>
        </w:rPr>
        <w:t>closing</w:t>
      </w:r>
      <w:r>
        <w:rPr>
          <w:color w:val="231F20"/>
          <w:spacing w:val="-4"/>
        </w:rPr>
        <w:t> </w:t>
      </w:r>
      <w:r>
        <w:rPr>
          <w:color w:val="231F20"/>
        </w:rPr>
        <w:t>the transaction as instructed.</w:t>
      </w:r>
    </w:p>
    <w:p>
      <w:pPr>
        <w:spacing w:after="0"/>
        <w:jc w:val="both"/>
        <w:sectPr>
          <w:type w:val="continuous"/>
          <w:pgSz w:w="12240" w:h="15840"/>
          <w:pgMar w:top="380" w:bottom="0" w:left="260" w:right="260"/>
          <w:cols w:num="2" w:equalWidth="0">
            <w:col w:w="5680" w:space="40"/>
            <w:col w:w="6000"/>
          </w:cols>
        </w:sectPr>
      </w:pPr>
    </w:p>
    <w:p>
      <w:pPr>
        <w:pStyle w:val="BodyText"/>
        <w:rPr>
          <w:sz w:val="20"/>
        </w:rPr>
      </w:pPr>
    </w:p>
    <w:p>
      <w:pPr>
        <w:pStyle w:val="BodyText"/>
        <w:rPr>
          <w:sz w:val="20"/>
        </w:rPr>
      </w:pPr>
    </w:p>
    <w:p>
      <w:pPr>
        <w:pStyle w:val="BodyText"/>
        <w:spacing w:before="13"/>
        <w:rPr>
          <w:sz w:val="20"/>
        </w:rPr>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spacing w:before="122"/>
        <w:ind w:left="1138" w:right="0" w:firstLine="0"/>
        <w:jc w:val="left"/>
        <w:rPr>
          <w:sz w:val="20"/>
        </w:rPr>
      </w:pPr>
      <w:r>
        <w:rPr/>
        <w:drawing>
          <wp:anchor distT="0" distB="0" distL="0" distR="0" allowOverlap="1" layoutInCell="1" locked="0" behindDoc="0" simplePos="0" relativeHeight="15729664">
            <wp:simplePos x="0" y="0"/>
            <wp:positionH relativeFrom="page">
              <wp:posOffset>5689014</wp:posOffset>
            </wp:positionH>
            <wp:positionV relativeFrom="paragraph">
              <wp:posOffset>97953</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sz w:val="20"/>
        </w:rPr>
        <w:t>DRE</w:t>
      </w:r>
      <w:r>
        <w:rPr>
          <w:spacing w:val="-4"/>
          <w:sz w:val="20"/>
        </w:rPr>
        <w:t> </w:t>
      </w:r>
      <w:r>
        <w:rPr>
          <w:sz w:val="20"/>
        </w:rPr>
        <w:t>LIC#</w:t>
      </w:r>
      <w:r>
        <w:rPr>
          <w:spacing w:val="-1"/>
          <w:sz w:val="20"/>
        </w:rPr>
        <w:t> </w:t>
      </w:r>
      <w:r>
        <w:rPr>
          <w:spacing w:val="-2"/>
          <w:sz w:val="20"/>
        </w:rPr>
        <w:t>01474985</w:t>
      </w:r>
    </w:p>
    <w:p>
      <w:pPr>
        <w:spacing w:before="10"/>
        <w:ind w:left="1138" w:right="0" w:firstLine="0"/>
        <w:jc w:val="left"/>
        <w:rPr>
          <w:sz w:val="20"/>
        </w:rPr>
      </w:pPr>
      <w:r>
        <w:rPr>
          <w:spacing w:val="-2"/>
          <w:sz w:val="20"/>
        </w:rPr>
        <w:t>925-395-</w:t>
      </w:r>
      <w:r>
        <w:rPr>
          <w:spacing w:val="-4"/>
          <w:sz w:val="20"/>
        </w:rPr>
        <w:t>0175</w:t>
      </w:r>
    </w:p>
    <w:p>
      <w:pPr>
        <w:spacing w:line="249" w:lineRule="auto" w:before="10"/>
        <w:ind w:left="1138" w:right="5720" w:firstLine="0"/>
        <w:jc w:val="left"/>
        <w:rPr>
          <w:sz w:val="20"/>
        </w:rPr>
      </w:pPr>
      <w:hyperlink r:id="rId7">
        <w:r>
          <w:rPr>
            <w:spacing w:val="-2"/>
            <w:sz w:val="20"/>
          </w:rPr>
          <w:t>christy@christyscarealty.com</w:t>
        </w:r>
      </w:hyperlink>
      <w:r>
        <w:rPr>
          <w:spacing w:val="-2"/>
          <w:sz w:val="20"/>
        </w:rPr>
        <w:t> christyscaliforniarealty.com</w:t>
      </w: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163182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12.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270"/>
      </w:pPr>
      <w:rPr>
        <w:rFonts w:hint="default" w:ascii="Arial" w:hAnsi="Arial" w:eastAsia="Arial" w:cs="Arial"/>
        <w:b w:val="0"/>
        <w:bCs w:val="0"/>
        <w:i w:val="0"/>
        <w:iCs w:val="0"/>
        <w:color w:val="231F20"/>
        <w:spacing w:val="0"/>
        <w:w w:val="142"/>
        <w:sz w:val="22"/>
        <w:szCs w:val="22"/>
        <w:lang w:val="en-US" w:eastAsia="en-US" w:bidi="ar-SA"/>
      </w:rPr>
    </w:lvl>
    <w:lvl w:ilvl="1">
      <w:start w:val="0"/>
      <w:numFmt w:val="bullet"/>
      <w:lvlText w:val="•"/>
      <w:lvlJc w:val="left"/>
      <w:pPr>
        <w:ind w:left="1467" w:hanging="270"/>
      </w:pPr>
      <w:rPr>
        <w:rFonts w:hint="default"/>
        <w:lang w:val="en-US" w:eastAsia="en-US" w:bidi="ar-SA"/>
      </w:rPr>
    </w:lvl>
    <w:lvl w:ilvl="2">
      <w:start w:val="0"/>
      <w:numFmt w:val="bullet"/>
      <w:lvlText w:val="•"/>
      <w:lvlJc w:val="left"/>
      <w:pPr>
        <w:ind w:left="1935" w:hanging="270"/>
      </w:pPr>
      <w:rPr>
        <w:rFonts w:hint="default"/>
        <w:lang w:val="en-US" w:eastAsia="en-US" w:bidi="ar-SA"/>
      </w:rPr>
    </w:lvl>
    <w:lvl w:ilvl="3">
      <w:start w:val="0"/>
      <w:numFmt w:val="bullet"/>
      <w:lvlText w:val="•"/>
      <w:lvlJc w:val="left"/>
      <w:pPr>
        <w:ind w:left="2403" w:hanging="270"/>
      </w:pPr>
      <w:rPr>
        <w:rFonts w:hint="default"/>
        <w:lang w:val="en-US" w:eastAsia="en-US" w:bidi="ar-SA"/>
      </w:rPr>
    </w:lvl>
    <w:lvl w:ilvl="4">
      <w:start w:val="0"/>
      <w:numFmt w:val="bullet"/>
      <w:lvlText w:val="•"/>
      <w:lvlJc w:val="left"/>
      <w:pPr>
        <w:ind w:left="2871" w:hanging="270"/>
      </w:pPr>
      <w:rPr>
        <w:rFonts w:hint="default"/>
        <w:lang w:val="en-US" w:eastAsia="en-US" w:bidi="ar-SA"/>
      </w:rPr>
    </w:lvl>
    <w:lvl w:ilvl="5">
      <w:start w:val="0"/>
      <w:numFmt w:val="bullet"/>
      <w:lvlText w:val="•"/>
      <w:lvlJc w:val="left"/>
      <w:pPr>
        <w:ind w:left="3339" w:hanging="270"/>
      </w:pPr>
      <w:rPr>
        <w:rFonts w:hint="default"/>
        <w:lang w:val="en-US" w:eastAsia="en-US" w:bidi="ar-SA"/>
      </w:rPr>
    </w:lvl>
    <w:lvl w:ilvl="6">
      <w:start w:val="0"/>
      <w:numFmt w:val="bullet"/>
      <w:lvlText w:val="•"/>
      <w:lvlJc w:val="left"/>
      <w:pPr>
        <w:ind w:left="3807" w:hanging="270"/>
      </w:pPr>
      <w:rPr>
        <w:rFonts w:hint="default"/>
        <w:lang w:val="en-US" w:eastAsia="en-US" w:bidi="ar-SA"/>
      </w:rPr>
    </w:lvl>
    <w:lvl w:ilvl="7">
      <w:start w:val="0"/>
      <w:numFmt w:val="bullet"/>
      <w:lvlText w:val="•"/>
      <w:lvlJc w:val="left"/>
      <w:pPr>
        <w:ind w:left="4275" w:hanging="270"/>
      </w:pPr>
      <w:rPr>
        <w:rFonts w:hint="default"/>
        <w:lang w:val="en-US" w:eastAsia="en-US" w:bidi="ar-SA"/>
      </w:rPr>
    </w:lvl>
    <w:lvl w:ilvl="8">
      <w:start w:val="0"/>
      <w:numFmt w:val="bullet"/>
      <w:lvlText w:val="•"/>
      <w:lvlJc w:val="left"/>
      <w:pPr>
        <w:ind w:left="4743"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line="640" w:lineRule="exact"/>
    </w:pPr>
    <w:rPr>
      <w:rFonts w:ascii="Arial" w:hAnsi="Arial" w:eastAsia="Arial" w:cs="Arial"/>
      <w:b/>
      <w:bCs/>
      <w:sz w:val="57"/>
      <w:szCs w:val="57"/>
      <w:lang w:val="en-US" w:eastAsia="en-US" w:bidi="ar-SA"/>
    </w:rPr>
  </w:style>
  <w:style w:styleId="ListParagraph" w:type="paragraph">
    <w:name w:val="List Paragraph"/>
    <w:basedOn w:val="Normal"/>
    <w:uiPriority w:val="1"/>
    <w:qFormat/>
    <w:pPr>
      <w:spacing w:before="180"/>
      <w:ind w:left="998"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2024-09-08T23:25:02Z</dcterms:created>
  <dcterms:modified xsi:type="dcterms:W3CDTF">2024-09-08T23:25:02Z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2024-09-08T00:00:00Z</vt:filetime>
  </property>
  <property fmtid="{D5CDD505-2E9C-101B-9397-08002B2CF9AE}" pid="5" name="Producer">
    <vt:lpwstr>Adobe LiveCycle Designer 11.0</vt:lpwstr>
  </property>
</Properties>
</file>