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0"/>
        <w:ind w:left="100"/>
        <w:rPr>
          <w:rFonts w:ascii="Times New Roman"/>
        </w:rPr>
      </w:pPr>
      <w:r>
        <w:rPr>
          <w:rFonts w:ascii="Times New Roman"/>
        </w:rPr>
        <mc:AlternateContent>
          <mc:Choice Requires="wps">
            <w:drawing>
              <wp:inline distT="0" distB="0" distL="0" distR="0">
                <wp:extent cx="7315200" cy="3420110"/>
                <wp:effectExtent l="0" t="0" r="0" b="8889"/>
                <wp:docPr id="1" name="Group 1"/>
                <wp:cNvGraphicFramePr>
                  <a:graphicFrameLocks/>
                </wp:cNvGraphicFramePr>
                <a:graphic>
                  <a:graphicData uri="http://schemas.microsoft.com/office/word/2010/wordprocessingGroup">
                    <wpg:wgp>
                      <wpg:cNvPr id="1" name="Group 1"/>
                      <wpg:cNvGrpSpPr/>
                      <wpg:grpSpPr>
                        <a:xfrm>
                          <a:off x="0" y="0"/>
                          <a:ext cx="7315200" cy="3420110"/>
                          <a:chExt cx="7315200" cy="3420110"/>
                        </a:xfrm>
                      </wpg:grpSpPr>
                      <pic:pic>
                        <pic:nvPicPr>
                          <pic:cNvPr id="2" name="Image 2"/>
                          <pic:cNvPicPr/>
                        </pic:nvPicPr>
                        <pic:blipFill>
                          <a:blip r:embed="rId5" cstate="print"/>
                          <a:stretch>
                            <a:fillRect/>
                          </a:stretch>
                        </pic:blipFill>
                        <pic:spPr>
                          <a:xfrm>
                            <a:off x="0" y="0"/>
                            <a:ext cx="7315200" cy="3419855"/>
                          </a:xfrm>
                          <a:prstGeom prst="rect">
                            <a:avLst/>
                          </a:prstGeom>
                        </pic:spPr>
                      </pic:pic>
                      <wps:wsp>
                        <wps:cNvPr id="3" name="Textbox 3"/>
                        <wps:cNvSpPr txBox="1"/>
                        <wps:spPr>
                          <a:xfrm>
                            <a:off x="0" y="2543048"/>
                            <a:ext cx="7315200" cy="658495"/>
                          </a:xfrm>
                          <a:prstGeom prst="rect">
                            <a:avLst/>
                          </a:prstGeom>
                          <a:solidFill>
                            <a:srgbClr val="D2232A">
                              <a:alpha val="79998"/>
                            </a:srgbClr>
                          </a:solidFill>
                        </wps:spPr>
                        <wps:txbx>
                          <w:txbxContent>
                            <w:p>
                              <w:pPr>
                                <w:spacing w:before="273"/>
                                <w:ind w:left="460" w:right="0" w:firstLine="0"/>
                                <w:jc w:val="left"/>
                                <w:rPr>
                                  <w:rFonts w:ascii="Times New Roman"/>
                                  <w:b/>
                                  <w:color w:val="000000"/>
                                  <w:sz w:val="44"/>
                                </w:rPr>
                              </w:pPr>
                              <w:r>
                                <w:rPr>
                                  <w:rFonts w:ascii="Times New Roman"/>
                                  <w:b/>
                                  <w:color w:val="FFFFFF"/>
                                  <w:w w:val="110"/>
                                  <w:sz w:val="44"/>
                                </w:rPr>
                                <w:t>What</w:t>
                              </w:r>
                              <w:r>
                                <w:rPr>
                                  <w:rFonts w:ascii="Times New Roman"/>
                                  <w:b/>
                                  <w:color w:val="FFFFFF"/>
                                  <w:spacing w:val="-2"/>
                                  <w:w w:val="110"/>
                                  <w:sz w:val="44"/>
                                </w:rPr>
                                <w:t> </w:t>
                              </w:r>
                              <w:r>
                                <w:rPr>
                                  <w:rFonts w:ascii="Times New Roman"/>
                                  <w:b/>
                                  <w:color w:val="FFFFFF"/>
                                  <w:w w:val="110"/>
                                  <w:sz w:val="44"/>
                                </w:rPr>
                                <w:t>environmental</w:t>
                              </w:r>
                              <w:r>
                                <w:rPr>
                                  <w:rFonts w:ascii="Times New Roman"/>
                                  <w:b/>
                                  <w:color w:val="FFFFFF"/>
                                  <w:spacing w:val="1"/>
                                  <w:w w:val="110"/>
                                  <w:sz w:val="44"/>
                                </w:rPr>
                                <w:t> </w:t>
                              </w:r>
                              <w:r>
                                <w:rPr>
                                  <w:rFonts w:ascii="Times New Roman"/>
                                  <w:b/>
                                  <w:color w:val="FFFFFF"/>
                                  <w:w w:val="110"/>
                                  <w:sz w:val="44"/>
                                </w:rPr>
                                <w:t>hazards is</w:t>
                              </w:r>
                              <w:r>
                                <w:rPr>
                                  <w:rFonts w:ascii="Times New Roman"/>
                                  <w:b/>
                                  <w:color w:val="FFFFFF"/>
                                  <w:spacing w:val="1"/>
                                  <w:w w:val="110"/>
                                  <w:sz w:val="44"/>
                                </w:rPr>
                                <w:t> </w:t>
                              </w:r>
                              <w:r>
                                <w:rPr>
                                  <w:rFonts w:ascii="Times New Roman"/>
                                  <w:b/>
                                  <w:color w:val="FFFFFF"/>
                                  <w:w w:val="110"/>
                                  <w:sz w:val="44"/>
                                </w:rPr>
                                <w:t>a seller</w:t>
                              </w:r>
                              <w:r>
                                <w:rPr>
                                  <w:rFonts w:ascii="Times New Roman"/>
                                  <w:b/>
                                  <w:color w:val="FFFFFF"/>
                                  <w:spacing w:val="1"/>
                                  <w:w w:val="110"/>
                                  <w:sz w:val="44"/>
                                </w:rPr>
                                <w:t> </w:t>
                              </w:r>
                              <w:r>
                                <w:rPr>
                                  <w:rFonts w:ascii="Times New Roman"/>
                                  <w:b/>
                                  <w:color w:val="FFFFFF"/>
                                  <w:w w:val="110"/>
                                  <w:sz w:val="44"/>
                                </w:rPr>
                                <w:t>to</w:t>
                              </w:r>
                              <w:r>
                                <w:rPr>
                                  <w:rFonts w:ascii="Times New Roman"/>
                                  <w:b/>
                                  <w:color w:val="FFFFFF"/>
                                  <w:spacing w:val="1"/>
                                  <w:w w:val="110"/>
                                  <w:sz w:val="44"/>
                                </w:rPr>
                                <w:t> </w:t>
                              </w:r>
                              <w:r>
                                <w:rPr>
                                  <w:rFonts w:ascii="Times New Roman"/>
                                  <w:b/>
                                  <w:color w:val="FFFFFF"/>
                                  <w:spacing w:val="-2"/>
                                  <w:w w:val="110"/>
                                  <w:sz w:val="44"/>
                                </w:rPr>
                                <w:t>disclose?</w:t>
                              </w:r>
                            </w:p>
                          </w:txbxContent>
                        </wps:txbx>
                        <wps:bodyPr wrap="square" lIns="0" tIns="0" rIns="0" bIns="0" rtlCol="0">
                          <a:noAutofit/>
                        </wps:bodyPr>
                      </wps:wsp>
                    </wpg:wgp>
                  </a:graphicData>
                </a:graphic>
              </wp:inline>
            </w:drawing>
          </mc:Choice>
          <mc:Fallback>
            <w:pict>
              <v:group style="width:576pt;height:269.3pt;mso-position-horizontal-relative:char;mso-position-vertical-relative:line" id="docshapegroup1" coordorigin="0,0" coordsize="11520,5386">
                <v:shape style="position:absolute;left:0;top:0;width:11520;height:5386" type="#_x0000_t75" id="docshape2" stroked="false">
                  <v:imagedata r:id="rId5" o:title=""/>
                </v:shape>
                <v:shapetype id="_x0000_t202" o:spt="202" coordsize="21600,21600" path="m,l,21600r21600,l21600,xe">
                  <v:stroke joinstyle="miter"/>
                  <v:path gradientshapeok="t" o:connecttype="rect"/>
                </v:shapetype>
                <v:shape style="position:absolute;left:0;top:4004;width:11520;height:1037" type="#_x0000_t202" id="docshape3" filled="true" fillcolor="#d2232a" stroked="false">
                  <v:textbox inset="0,0,0,0">
                    <w:txbxContent>
                      <w:p>
                        <w:pPr>
                          <w:spacing w:before="273"/>
                          <w:ind w:left="460" w:right="0" w:firstLine="0"/>
                          <w:jc w:val="left"/>
                          <w:rPr>
                            <w:rFonts w:ascii="Times New Roman"/>
                            <w:b/>
                            <w:color w:val="000000"/>
                            <w:sz w:val="44"/>
                          </w:rPr>
                        </w:pPr>
                        <w:r>
                          <w:rPr>
                            <w:rFonts w:ascii="Times New Roman"/>
                            <w:b/>
                            <w:color w:val="FFFFFF"/>
                            <w:w w:val="110"/>
                            <w:sz w:val="44"/>
                          </w:rPr>
                          <w:t>What</w:t>
                        </w:r>
                        <w:r>
                          <w:rPr>
                            <w:rFonts w:ascii="Times New Roman"/>
                            <w:b/>
                            <w:color w:val="FFFFFF"/>
                            <w:spacing w:val="-2"/>
                            <w:w w:val="110"/>
                            <w:sz w:val="44"/>
                          </w:rPr>
                          <w:t> </w:t>
                        </w:r>
                        <w:r>
                          <w:rPr>
                            <w:rFonts w:ascii="Times New Roman"/>
                            <w:b/>
                            <w:color w:val="FFFFFF"/>
                            <w:w w:val="110"/>
                            <w:sz w:val="44"/>
                          </w:rPr>
                          <w:t>environmental</w:t>
                        </w:r>
                        <w:r>
                          <w:rPr>
                            <w:rFonts w:ascii="Times New Roman"/>
                            <w:b/>
                            <w:color w:val="FFFFFF"/>
                            <w:spacing w:val="1"/>
                            <w:w w:val="110"/>
                            <w:sz w:val="44"/>
                          </w:rPr>
                          <w:t> </w:t>
                        </w:r>
                        <w:r>
                          <w:rPr>
                            <w:rFonts w:ascii="Times New Roman"/>
                            <w:b/>
                            <w:color w:val="FFFFFF"/>
                            <w:w w:val="110"/>
                            <w:sz w:val="44"/>
                          </w:rPr>
                          <w:t>hazards is</w:t>
                        </w:r>
                        <w:r>
                          <w:rPr>
                            <w:rFonts w:ascii="Times New Roman"/>
                            <w:b/>
                            <w:color w:val="FFFFFF"/>
                            <w:spacing w:val="1"/>
                            <w:w w:val="110"/>
                            <w:sz w:val="44"/>
                          </w:rPr>
                          <w:t> </w:t>
                        </w:r>
                        <w:r>
                          <w:rPr>
                            <w:rFonts w:ascii="Times New Roman"/>
                            <w:b/>
                            <w:color w:val="FFFFFF"/>
                            <w:w w:val="110"/>
                            <w:sz w:val="44"/>
                          </w:rPr>
                          <w:t>a seller</w:t>
                        </w:r>
                        <w:r>
                          <w:rPr>
                            <w:rFonts w:ascii="Times New Roman"/>
                            <w:b/>
                            <w:color w:val="FFFFFF"/>
                            <w:spacing w:val="1"/>
                            <w:w w:val="110"/>
                            <w:sz w:val="44"/>
                          </w:rPr>
                          <w:t> </w:t>
                        </w:r>
                        <w:r>
                          <w:rPr>
                            <w:rFonts w:ascii="Times New Roman"/>
                            <w:b/>
                            <w:color w:val="FFFFFF"/>
                            <w:w w:val="110"/>
                            <w:sz w:val="44"/>
                          </w:rPr>
                          <w:t>to</w:t>
                        </w:r>
                        <w:r>
                          <w:rPr>
                            <w:rFonts w:ascii="Times New Roman"/>
                            <w:b/>
                            <w:color w:val="FFFFFF"/>
                            <w:spacing w:val="1"/>
                            <w:w w:val="110"/>
                            <w:sz w:val="44"/>
                          </w:rPr>
                          <w:t> </w:t>
                        </w:r>
                        <w:r>
                          <w:rPr>
                            <w:rFonts w:ascii="Times New Roman"/>
                            <w:b/>
                            <w:color w:val="FFFFFF"/>
                            <w:spacing w:val="-2"/>
                            <w:w w:val="110"/>
                            <w:sz w:val="44"/>
                          </w:rPr>
                          <w:t>disclose?</w:t>
                        </w:r>
                      </w:p>
                    </w:txbxContent>
                  </v:textbox>
                  <v:fill opacity="52428f" type="solid"/>
                  <w10:wrap type="none"/>
                </v:shape>
              </v:group>
            </w:pict>
          </mc:Fallback>
        </mc:AlternateContent>
      </w:r>
      <w:r>
        <w:rPr>
          <w:rFonts w:ascii="Times New Roman"/>
        </w:rPr>
      </w:r>
    </w:p>
    <w:p>
      <w:pPr>
        <w:pStyle w:val="BodyText"/>
        <w:spacing w:before="21"/>
        <w:ind w:left="0"/>
        <w:rPr>
          <w:rFonts w:ascii="Times New Roman"/>
        </w:rPr>
      </w:pPr>
    </w:p>
    <w:p>
      <w:pPr>
        <w:spacing w:after="0"/>
        <w:rPr>
          <w:rFonts w:ascii="Times New Roman"/>
        </w:rPr>
        <w:sectPr>
          <w:type w:val="continuous"/>
          <w:pgSz w:w="12240" w:h="15840"/>
          <w:pgMar w:top="380" w:bottom="0" w:left="260" w:right="260"/>
        </w:sectPr>
      </w:pPr>
    </w:p>
    <w:p>
      <w:pPr>
        <w:pStyle w:val="BodyText"/>
        <w:spacing w:line="249" w:lineRule="auto" w:before="94"/>
        <w:ind w:left="1173"/>
        <w:jc w:val="both"/>
      </w:pPr>
      <w:r>
        <w:rPr/>
        <mc:AlternateContent>
          <mc:Choice Requires="wps">
            <w:drawing>
              <wp:anchor distT="0" distB="0" distL="0" distR="0" allowOverlap="1" layoutInCell="1" locked="0" behindDoc="1" simplePos="0" relativeHeight="487551488">
                <wp:simplePos x="0" y="0"/>
                <wp:positionH relativeFrom="page">
                  <wp:posOffset>457200</wp:posOffset>
                </wp:positionH>
                <wp:positionV relativeFrom="paragraph">
                  <wp:posOffset>23652</wp:posOffset>
                </wp:positionV>
                <wp:extent cx="358775" cy="379730"/>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358775" cy="379730"/>
                        </a:xfrm>
                        <a:prstGeom prst="rect">
                          <a:avLst/>
                        </a:prstGeom>
                      </wps:spPr>
                      <wps:txbx>
                        <w:txbxContent>
                          <w:p>
                            <w:pPr>
                              <w:spacing w:line="597" w:lineRule="exact" w:before="0"/>
                              <w:ind w:left="0" w:right="0" w:firstLine="0"/>
                              <w:jc w:val="left"/>
                              <w:rPr>
                                <w:b/>
                                <w:sz w:val="53"/>
                              </w:rPr>
                            </w:pPr>
                            <w:r>
                              <w:rPr>
                                <w:b/>
                                <w:color w:val="D2232A"/>
                                <w:spacing w:val="-5"/>
                                <w:sz w:val="53"/>
                              </w:rPr>
                              <w:t>A:</w:t>
                            </w:r>
                          </w:p>
                        </w:txbxContent>
                      </wps:txbx>
                      <wps:bodyPr wrap="square" lIns="0" tIns="0" rIns="0" bIns="0" rtlCol="0">
                        <a:noAutofit/>
                      </wps:bodyPr>
                    </wps:wsp>
                  </a:graphicData>
                </a:graphic>
              </wp:anchor>
            </w:drawing>
          </mc:Choice>
          <mc:Fallback>
            <w:pict>
              <v:shape style="position:absolute;margin-left:36pt;margin-top:1.862438pt;width:28.25pt;height:29.9pt;mso-position-horizontal-relative:page;mso-position-vertical-relative:paragraph;z-index:-15764992" type="#_x0000_t202" id="docshape4" filled="false" stroked="false">
                <v:textbox inset="0,0,0,0">
                  <w:txbxContent>
                    <w:p>
                      <w:pPr>
                        <w:spacing w:line="597" w:lineRule="exact" w:before="0"/>
                        <w:ind w:left="0" w:right="0" w:firstLine="0"/>
                        <w:jc w:val="left"/>
                        <w:rPr>
                          <w:b/>
                          <w:sz w:val="53"/>
                        </w:rPr>
                      </w:pPr>
                      <w:r>
                        <w:rPr>
                          <w:b/>
                          <w:color w:val="D2232A"/>
                          <w:spacing w:val="-5"/>
                          <w:sz w:val="53"/>
                        </w:rPr>
                        <w:t>A:</w:t>
                      </w:r>
                    </w:p>
                  </w:txbxContent>
                </v:textbox>
                <w10:wrap type="none"/>
              </v:shape>
            </w:pict>
          </mc:Fallback>
        </mc:AlternateContent>
      </w:r>
      <w:r>
        <w:rPr>
          <w:color w:val="231F20"/>
        </w:rPr>
        <w:t>Environmental hazards are man-made hazards such</w:t>
      </w:r>
      <w:r>
        <w:rPr>
          <w:color w:val="231F20"/>
          <w:spacing w:val="74"/>
          <w:w w:val="150"/>
        </w:rPr>
        <w:t> </w:t>
      </w:r>
      <w:r>
        <w:rPr>
          <w:color w:val="231F20"/>
        </w:rPr>
        <w:t>as</w:t>
      </w:r>
      <w:r>
        <w:rPr>
          <w:color w:val="231F20"/>
          <w:spacing w:val="75"/>
          <w:w w:val="150"/>
        </w:rPr>
        <w:t> </w:t>
      </w:r>
      <w:r>
        <w:rPr>
          <w:color w:val="231F20"/>
        </w:rPr>
        <w:t>noxious</w:t>
      </w:r>
      <w:r>
        <w:rPr>
          <w:color w:val="231F20"/>
          <w:spacing w:val="74"/>
          <w:w w:val="150"/>
        </w:rPr>
        <w:t> </w:t>
      </w:r>
      <w:r>
        <w:rPr>
          <w:color w:val="231F20"/>
        </w:rPr>
        <w:t>or</w:t>
      </w:r>
      <w:r>
        <w:rPr>
          <w:color w:val="231F20"/>
          <w:spacing w:val="75"/>
          <w:w w:val="150"/>
        </w:rPr>
        <w:t> </w:t>
      </w:r>
      <w:r>
        <w:rPr>
          <w:color w:val="231F20"/>
        </w:rPr>
        <w:t>annoying</w:t>
      </w:r>
      <w:r>
        <w:rPr>
          <w:color w:val="231F20"/>
          <w:spacing w:val="74"/>
          <w:w w:val="150"/>
        </w:rPr>
        <w:t> </w:t>
      </w:r>
      <w:r>
        <w:rPr>
          <w:color w:val="231F20"/>
        </w:rPr>
        <w:t>conditions,</w:t>
      </w:r>
      <w:r>
        <w:rPr>
          <w:color w:val="231F20"/>
          <w:spacing w:val="75"/>
          <w:w w:val="150"/>
        </w:rPr>
        <w:t> </w:t>
      </w:r>
      <w:r>
        <w:rPr>
          <w:color w:val="231F20"/>
          <w:spacing w:val="-5"/>
        </w:rPr>
        <w:t>not</w:t>
      </w:r>
    </w:p>
    <w:p>
      <w:pPr>
        <w:pStyle w:val="BodyText"/>
        <w:spacing w:line="249" w:lineRule="auto" w:before="2"/>
        <w:ind w:left="459"/>
        <w:jc w:val="both"/>
      </w:pPr>
      <w:r>
        <w:rPr>
          <w:color w:val="231F20"/>
        </w:rPr>
        <w:t>natural hazards that exist at the location of the property.</w:t>
      </w:r>
      <w:r>
        <w:rPr>
          <w:color w:val="231F20"/>
          <w:spacing w:val="40"/>
        </w:rPr>
        <w:t> </w:t>
      </w:r>
      <w:r>
        <w:rPr>
          <w:color w:val="231F20"/>
        </w:rPr>
        <w:t>As environmental hazards, the conditions are classified as </w:t>
      </w:r>
      <w:r>
        <w:rPr>
          <w:color w:val="231F20"/>
          <w:spacing w:val="-2"/>
        </w:rPr>
        <w:t>either:</w:t>
      </w:r>
    </w:p>
    <w:p>
      <w:pPr>
        <w:pStyle w:val="ListParagraph"/>
        <w:numPr>
          <w:ilvl w:val="0"/>
          <w:numId w:val="1"/>
        </w:numPr>
        <w:tabs>
          <w:tab w:pos="998" w:val="left" w:leader="none"/>
        </w:tabs>
        <w:spacing w:line="240" w:lineRule="auto" w:before="92" w:after="0"/>
        <w:ind w:left="998" w:right="0" w:hanging="269"/>
        <w:jc w:val="both"/>
        <w:rPr>
          <w:sz w:val="20"/>
        </w:rPr>
      </w:pPr>
      <w:r>
        <w:rPr>
          <w:color w:val="231F20"/>
          <w:sz w:val="20"/>
        </w:rPr>
        <w:t>injurious</w:t>
      </w:r>
      <w:r>
        <w:rPr>
          <w:color w:val="231F20"/>
          <w:spacing w:val="-2"/>
          <w:sz w:val="20"/>
        </w:rPr>
        <w:t> </w:t>
      </w:r>
      <w:r>
        <w:rPr>
          <w:color w:val="231F20"/>
          <w:sz w:val="20"/>
        </w:rPr>
        <w:t>to</w:t>
      </w:r>
      <w:r>
        <w:rPr>
          <w:color w:val="231F20"/>
          <w:spacing w:val="-1"/>
          <w:sz w:val="20"/>
        </w:rPr>
        <w:t> </w:t>
      </w:r>
      <w:r>
        <w:rPr>
          <w:color w:val="231F20"/>
          <w:sz w:val="20"/>
        </w:rPr>
        <w:t>the</w:t>
      </w:r>
      <w:r>
        <w:rPr>
          <w:color w:val="231F20"/>
          <w:spacing w:val="-1"/>
          <w:sz w:val="20"/>
        </w:rPr>
        <w:t> </w:t>
      </w:r>
      <w:r>
        <w:rPr>
          <w:color w:val="231F20"/>
          <w:sz w:val="20"/>
        </w:rPr>
        <w:t>health</w:t>
      </w:r>
      <w:r>
        <w:rPr>
          <w:color w:val="231F20"/>
          <w:spacing w:val="-2"/>
          <w:sz w:val="20"/>
        </w:rPr>
        <w:t> </w:t>
      </w:r>
      <w:r>
        <w:rPr>
          <w:color w:val="231F20"/>
          <w:sz w:val="20"/>
        </w:rPr>
        <w:t>of</w:t>
      </w:r>
      <w:r>
        <w:rPr>
          <w:color w:val="231F20"/>
          <w:spacing w:val="-1"/>
          <w:sz w:val="20"/>
        </w:rPr>
        <w:t> </w:t>
      </w:r>
      <w:r>
        <w:rPr>
          <w:color w:val="231F20"/>
          <w:sz w:val="20"/>
        </w:rPr>
        <w:t>humans;</w:t>
      </w:r>
      <w:r>
        <w:rPr>
          <w:color w:val="231F20"/>
          <w:spacing w:val="-1"/>
          <w:sz w:val="20"/>
        </w:rPr>
        <w:t> </w:t>
      </w:r>
      <w:r>
        <w:rPr>
          <w:color w:val="231F20"/>
          <w:spacing w:val="-5"/>
          <w:sz w:val="20"/>
        </w:rPr>
        <w:t>or</w:t>
      </w:r>
    </w:p>
    <w:p>
      <w:pPr>
        <w:pStyle w:val="ListParagraph"/>
        <w:numPr>
          <w:ilvl w:val="0"/>
          <w:numId w:val="1"/>
        </w:numPr>
        <w:tabs>
          <w:tab w:pos="998" w:val="left" w:leader="none"/>
        </w:tabs>
        <w:spacing w:line="240" w:lineRule="auto" w:before="10" w:after="0"/>
        <w:ind w:left="998" w:right="0" w:hanging="269"/>
        <w:jc w:val="both"/>
        <w:rPr>
          <w:sz w:val="20"/>
        </w:rPr>
      </w:pPr>
      <w:r>
        <w:rPr>
          <w:color w:val="231F20"/>
          <w:sz w:val="20"/>
        </w:rPr>
        <w:t>an</w:t>
      </w:r>
      <w:r>
        <w:rPr>
          <w:color w:val="231F20"/>
          <w:spacing w:val="-6"/>
          <w:sz w:val="20"/>
        </w:rPr>
        <w:t> </w:t>
      </w:r>
      <w:r>
        <w:rPr>
          <w:color w:val="231F20"/>
          <w:sz w:val="20"/>
        </w:rPr>
        <w:t>interference</w:t>
      </w:r>
      <w:r>
        <w:rPr>
          <w:color w:val="231F20"/>
          <w:spacing w:val="-6"/>
          <w:sz w:val="20"/>
        </w:rPr>
        <w:t> </w:t>
      </w:r>
      <w:r>
        <w:rPr>
          <w:color w:val="231F20"/>
          <w:sz w:val="20"/>
        </w:rPr>
        <w:t>with</w:t>
      </w:r>
      <w:r>
        <w:rPr>
          <w:color w:val="231F20"/>
          <w:spacing w:val="-6"/>
          <w:sz w:val="20"/>
        </w:rPr>
        <w:t> </w:t>
      </w:r>
      <w:r>
        <w:rPr>
          <w:color w:val="231F20"/>
          <w:sz w:val="20"/>
        </w:rPr>
        <w:t>an</w:t>
      </w:r>
      <w:r>
        <w:rPr>
          <w:color w:val="231F20"/>
          <w:spacing w:val="-6"/>
          <w:sz w:val="20"/>
        </w:rPr>
        <w:t> </w:t>
      </w:r>
      <w:r>
        <w:rPr>
          <w:color w:val="231F20"/>
          <w:sz w:val="20"/>
        </w:rPr>
        <w:t>individual’s</w:t>
      </w:r>
      <w:r>
        <w:rPr>
          <w:color w:val="231F20"/>
          <w:spacing w:val="-6"/>
          <w:sz w:val="20"/>
        </w:rPr>
        <w:t> </w:t>
      </w:r>
      <w:r>
        <w:rPr>
          <w:color w:val="231F20"/>
          <w:spacing w:val="-2"/>
          <w:sz w:val="20"/>
        </w:rPr>
        <w:t>sensitivities.</w:t>
      </w:r>
    </w:p>
    <w:p>
      <w:pPr>
        <w:pStyle w:val="BodyText"/>
        <w:spacing w:before="20"/>
        <w:ind w:left="0"/>
      </w:pPr>
    </w:p>
    <w:p>
      <w:pPr>
        <w:pStyle w:val="BodyText"/>
        <w:spacing w:line="249" w:lineRule="auto" w:before="0"/>
        <w:ind w:left="459"/>
        <w:jc w:val="both"/>
      </w:pPr>
      <w:r>
        <w:rPr>
          <w:color w:val="231F20"/>
          <w:spacing w:val="-2"/>
        </w:rPr>
        <w:t>Environmental</w:t>
      </w:r>
      <w:r>
        <w:rPr>
          <w:color w:val="231F20"/>
          <w:spacing w:val="-5"/>
        </w:rPr>
        <w:t> </w:t>
      </w:r>
      <w:r>
        <w:rPr>
          <w:color w:val="231F20"/>
          <w:spacing w:val="-2"/>
        </w:rPr>
        <w:t>hazards</w:t>
      </w:r>
      <w:r>
        <w:rPr>
          <w:color w:val="231F20"/>
          <w:spacing w:val="-5"/>
        </w:rPr>
        <w:t> </w:t>
      </w:r>
      <w:r>
        <w:rPr>
          <w:color w:val="231F20"/>
          <w:spacing w:val="-2"/>
        </w:rPr>
        <w:t>are</w:t>
      </w:r>
      <w:r>
        <w:rPr>
          <w:color w:val="231F20"/>
          <w:spacing w:val="-5"/>
        </w:rPr>
        <w:t> </w:t>
      </w:r>
      <w:r>
        <w:rPr>
          <w:color w:val="231F20"/>
          <w:spacing w:val="-2"/>
        </w:rPr>
        <w:t>defects</w:t>
      </w:r>
      <w:r>
        <w:rPr>
          <w:color w:val="231F20"/>
          <w:spacing w:val="-5"/>
        </w:rPr>
        <w:t> </w:t>
      </w:r>
      <w:r>
        <w:rPr>
          <w:color w:val="231F20"/>
          <w:spacing w:val="-2"/>
        </w:rPr>
        <w:t>in</w:t>
      </w:r>
      <w:r>
        <w:rPr>
          <w:color w:val="231F20"/>
          <w:spacing w:val="-5"/>
        </w:rPr>
        <w:t> </w:t>
      </w:r>
      <w:r>
        <w:rPr>
          <w:color w:val="231F20"/>
          <w:spacing w:val="-2"/>
        </w:rPr>
        <w:t>a</w:t>
      </w:r>
      <w:r>
        <w:rPr>
          <w:color w:val="231F20"/>
          <w:spacing w:val="-5"/>
        </w:rPr>
        <w:t> </w:t>
      </w:r>
      <w:r>
        <w:rPr>
          <w:color w:val="231F20"/>
          <w:spacing w:val="-2"/>
        </w:rPr>
        <w:t>property</w:t>
      </w:r>
      <w:r>
        <w:rPr>
          <w:color w:val="231F20"/>
          <w:spacing w:val="-5"/>
        </w:rPr>
        <w:t> </w:t>
      </w:r>
      <w:r>
        <w:rPr>
          <w:color w:val="231F20"/>
          <w:spacing w:val="-2"/>
        </w:rPr>
        <w:t>affecting</w:t>
      </w:r>
      <w:r>
        <w:rPr>
          <w:color w:val="231F20"/>
          <w:spacing w:val="-5"/>
        </w:rPr>
        <w:t> </w:t>
      </w:r>
      <w:r>
        <w:rPr>
          <w:color w:val="231F20"/>
          <w:spacing w:val="-2"/>
        </w:rPr>
        <w:t>its </w:t>
      </w:r>
      <w:r>
        <w:rPr>
          <w:color w:val="231F20"/>
        </w:rPr>
        <w:t>use</w:t>
      </w:r>
      <w:r>
        <w:rPr>
          <w:color w:val="231F20"/>
          <w:spacing w:val="-14"/>
        </w:rPr>
        <w:t> </w:t>
      </w:r>
      <w:r>
        <w:rPr>
          <w:color w:val="231F20"/>
        </w:rPr>
        <w:t>by</w:t>
      </w:r>
      <w:r>
        <w:rPr>
          <w:color w:val="231F20"/>
          <w:spacing w:val="-14"/>
        </w:rPr>
        <w:t> </w:t>
      </w:r>
      <w:r>
        <w:rPr>
          <w:color w:val="231F20"/>
        </w:rPr>
        <w:t>humans.</w:t>
      </w:r>
      <w:r>
        <w:rPr>
          <w:color w:val="231F20"/>
          <w:spacing w:val="-14"/>
        </w:rPr>
        <w:t> </w:t>
      </w:r>
      <w:r>
        <w:rPr>
          <w:color w:val="231F20"/>
        </w:rPr>
        <w:t>If</w:t>
      </w:r>
      <w:r>
        <w:rPr>
          <w:color w:val="231F20"/>
          <w:spacing w:val="-14"/>
        </w:rPr>
        <w:t> </w:t>
      </w:r>
      <w:r>
        <w:rPr>
          <w:color w:val="231F20"/>
        </w:rPr>
        <w:t>known</w:t>
      </w:r>
      <w:r>
        <w:rPr>
          <w:color w:val="231F20"/>
          <w:spacing w:val="-14"/>
        </w:rPr>
        <w:t> </w:t>
      </w:r>
      <w:r>
        <w:rPr>
          <w:color w:val="231F20"/>
        </w:rPr>
        <w:t>to</w:t>
      </w:r>
      <w:r>
        <w:rPr>
          <w:color w:val="231F20"/>
          <w:spacing w:val="-14"/>
        </w:rPr>
        <w:t> </w:t>
      </w:r>
      <w:r>
        <w:rPr>
          <w:color w:val="231F20"/>
        </w:rPr>
        <w:t>a</w:t>
      </w:r>
      <w:r>
        <w:rPr>
          <w:color w:val="231F20"/>
          <w:spacing w:val="-14"/>
        </w:rPr>
        <w:t> </w:t>
      </w:r>
      <w:r>
        <w:rPr>
          <w:color w:val="231F20"/>
        </w:rPr>
        <w:t>prospective</w:t>
      </w:r>
      <w:r>
        <w:rPr>
          <w:color w:val="231F20"/>
          <w:spacing w:val="-14"/>
        </w:rPr>
        <w:t> </w:t>
      </w:r>
      <w:r>
        <w:rPr>
          <w:color w:val="231F20"/>
        </w:rPr>
        <w:t>buyer,</w:t>
      </w:r>
      <w:r>
        <w:rPr>
          <w:color w:val="231F20"/>
          <w:spacing w:val="-14"/>
        </w:rPr>
        <w:t> </w:t>
      </w:r>
      <w:r>
        <w:rPr>
          <w:color w:val="231F20"/>
        </w:rPr>
        <w:t>the</w:t>
      </w:r>
      <w:r>
        <w:rPr>
          <w:color w:val="231F20"/>
          <w:spacing w:val="-13"/>
        </w:rPr>
        <w:t> </w:t>
      </w:r>
      <w:r>
        <w:rPr>
          <w:color w:val="231F20"/>
        </w:rPr>
        <w:t>defects may affect a prospective buyer’s decision to purchase the property. Thus, the environmental conditions are material facts. When known to the seller or the agents participating in</w:t>
      </w:r>
      <w:r>
        <w:rPr>
          <w:color w:val="231F20"/>
          <w:spacing w:val="-6"/>
        </w:rPr>
        <w:t> </w:t>
      </w:r>
      <w:r>
        <w:rPr>
          <w:color w:val="231F20"/>
        </w:rPr>
        <w:t>a</w:t>
      </w:r>
      <w:r>
        <w:rPr>
          <w:color w:val="231F20"/>
          <w:spacing w:val="-6"/>
        </w:rPr>
        <w:t> </w:t>
      </w:r>
      <w:r>
        <w:rPr>
          <w:color w:val="231F20"/>
        </w:rPr>
        <w:t>transaction,</w:t>
      </w:r>
      <w:r>
        <w:rPr>
          <w:color w:val="231F20"/>
          <w:spacing w:val="-6"/>
        </w:rPr>
        <w:t> </w:t>
      </w:r>
      <w:r>
        <w:rPr>
          <w:color w:val="231F20"/>
        </w:rPr>
        <w:t>environmental</w:t>
      </w:r>
      <w:r>
        <w:rPr>
          <w:color w:val="231F20"/>
          <w:spacing w:val="-6"/>
        </w:rPr>
        <w:t> </w:t>
      </w:r>
      <w:r>
        <w:rPr>
          <w:color w:val="231F20"/>
        </w:rPr>
        <w:t>hazards</w:t>
      </w:r>
      <w:r>
        <w:rPr>
          <w:color w:val="231F20"/>
          <w:spacing w:val="-6"/>
        </w:rPr>
        <w:t> </w:t>
      </w:r>
      <w:r>
        <w:rPr>
          <w:color w:val="231F20"/>
        </w:rPr>
        <w:t>are</w:t>
      </w:r>
      <w:r>
        <w:rPr>
          <w:color w:val="231F20"/>
          <w:spacing w:val="-6"/>
        </w:rPr>
        <w:t> </w:t>
      </w:r>
      <w:r>
        <w:rPr>
          <w:color w:val="231F20"/>
        </w:rPr>
        <w:t>to</w:t>
      </w:r>
      <w:r>
        <w:rPr>
          <w:color w:val="231F20"/>
          <w:spacing w:val="-6"/>
        </w:rPr>
        <w:t> </w:t>
      </w:r>
      <w:r>
        <w:rPr>
          <w:color w:val="231F20"/>
        </w:rPr>
        <w:t>be</w:t>
      </w:r>
      <w:r>
        <w:rPr>
          <w:color w:val="231F20"/>
          <w:spacing w:val="-6"/>
        </w:rPr>
        <w:t> </w:t>
      </w:r>
      <w:r>
        <w:rPr>
          <w:color w:val="231F20"/>
        </w:rPr>
        <w:t>disclosed to prospective buyers since material facts adversely affect the property’s value.</w:t>
      </w:r>
    </w:p>
    <w:p>
      <w:pPr>
        <w:pStyle w:val="BodyText"/>
        <w:spacing w:line="249" w:lineRule="auto" w:before="187"/>
        <w:ind w:left="459"/>
      </w:pPr>
      <w:r>
        <w:rPr>
          <w:color w:val="231F20"/>
        </w:rPr>
        <w:t>Environmental</w:t>
      </w:r>
      <w:r>
        <w:rPr>
          <w:color w:val="231F20"/>
          <w:spacing w:val="-4"/>
        </w:rPr>
        <w:t> </w:t>
      </w:r>
      <w:r>
        <w:rPr>
          <w:color w:val="231F20"/>
        </w:rPr>
        <w:t>hazards</w:t>
      </w:r>
      <w:r>
        <w:rPr>
          <w:color w:val="231F20"/>
          <w:spacing w:val="-4"/>
        </w:rPr>
        <w:t> </w:t>
      </w:r>
      <w:r>
        <w:rPr>
          <w:color w:val="231F20"/>
        </w:rPr>
        <w:t>located</w:t>
      </w:r>
      <w:r>
        <w:rPr>
          <w:color w:val="231F20"/>
          <w:spacing w:val="-4"/>
        </w:rPr>
        <w:t> </w:t>
      </w:r>
      <w:r>
        <w:rPr>
          <w:color w:val="231F20"/>
        </w:rPr>
        <w:t>on</w:t>
      </w:r>
      <w:r>
        <w:rPr>
          <w:color w:val="231F20"/>
          <w:spacing w:val="-4"/>
        </w:rPr>
        <w:t> </w:t>
      </w:r>
      <w:r>
        <w:rPr>
          <w:color w:val="231F20"/>
        </w:rPr>
        <w:t>the</w:t>
      </w:r>
      <w:r>
        <w:rPr>
          <w:color w:val="231F20"/>
          <w:spacing w:val="-4"/>
        </w:rPr>
        <w:t> </w:t>
      </w:r>
      <w:r>
        <w:rPr>
          <w:color w:val="231F20"/>
        </w:rPr>
        <w:t>property</w:t>
      </w:r>
      <w:r>
        <w:rPr>
          <w:color w:val="231F20"/>
          <w:spacing w:val="-4"/>
        </w:rPr>
        <w:t> </w:t>
      </w:r>
      <w:r>
        <w:rPr>
          <w:color w:val="231F20"/>
        </w:rPr>
        <w:t>which</w:t>
      </w:r>
      <w:r>
        <w:rPr>
          <w:color w:val="231F20"/>
          <w:spacing w:val="-4"/>
        </w:rPr>
        <w:t> </w:t>
      </w:r>
      <w:r>
        <w:rPr>
          <w:color w:val="231F20"/>
        </w:rPr>
        <w:t>pose a direct health threat to occupants include:</w:t>
      </w:r>
    </w:p>
    <w:p>
      <w:pPr>
        <w:pStyle w:val="ListParagraph"/>
        <w:numPr>
          <w:ilvl w:val="0"/>
          <w:numId w:val="1"/>
        </w:numPr>
        <w:tabs>
          <w:tab w:pos="998" w:val="left" w:leader="none"/>
        </w:tabs>
        <w:spacing w:line="240" w:lineRule="auto" w:before="91" w:after="0"/>
        <w:ind w:left="998" w:right="0" w:hanging="269"/>
        <w:jc w:val="left"/>
        <w:rPr>
          <w:sz w:val="20"/>
        </w:rPr>
      </w:pPr>
      <w:r>
        <w:rPr>
          <w:color w:val="231F20"/>
          <w:sz w:val="20"/>
        </w:rPr>
        <w:t>asbestos-containing</w:t>
      </w:r>
      <w:r>
        <w:rPr>
          <w:color w:val="231F20"/>
          <w:spacing w:val="-13"/>
          <w:sz w:val="20"/>
        </w:rPr>
        <w:t> </w:t>
      </w:r>
      <w:r>
        <w:rPr>
          <w:color w:val="231F20"/>
          <w:sz w:val="20"/>
        </w:rPr>
        <w:t>building</w:t>
      </w:r>
      <w:r>
        <w:rPr>
          <w:color w:val="231F20"/>
          <w:spacing w:val="-12"/>
          <w:sz w:val="20"/>
        </w:rPr>
        <w:t> </w:t>
      </w:r>
      <w:r>
        <w:rPr>
          <w:color w:val="231F20"/>
          <w:spacing w:val="-2"/>
          <w:sz w:val="20"/>
        </w:rPr>
        <w:t>materials;</w:t>
      </w:r>
    </w:p>
    <w:p>
      <w:pPr>
        <w:pStyle w:val="ListParagraph"/>
        <w:numPr>
          <w:ilvl w:val="0"/>
          <w:numId w:val="1"/>
        </w:numPr>
        <w:tabs>
          <w:tab w:pos="998" w:val="left" w:leader="none"/>
        </w:tabs>
        <w:spacing w:line="240" w:lineRule="auto" w:before="10" w:after="0"/>
        <w:ind w:left="998" w:right="0" w:hanging="269"/>
        <w:jc w:val="left"/>
        <w:rPr>
          <w:sz w:val="20"/>
        </w:rPr>
      </w:pPr>
      <w:r>
        <w:rPr>
          <w:color w:val="231F20"/>
          <w:sz w:val="20"/>
        </w:rPr>
        <w:t>carbon</w:t>
      </w:r>
      <w:r>
        <w:rPr>
          <w:color w:val="231F20"/>
          <w:spacing w:val="-5"/>
          <w:sz w:val="20"/>
        </w:rPr>
        <w:t> </w:t>
      </w:r>
      <w:r>
        <w:rPr>
          <w:color w:val="231F20"/>
          <w:spacing w:val="-2"/>
          <w:sz w:val="20"/>
        </w:rPr>
        <w:t>monoxide;</w:t>
      </w:r>
    </w:p>
    <w:p>
      <w:pPr>
        <w:pStyle w:val="ListParagraph"/>
        <w:numPr>
          <w:ilvl w:val="0"/>
          <w:numId w:val="1"/>
        </w:numPr>
        <w:tabs>
          <w:tab w:pos="998" w:val="left" w:leader="none"/>
        </w:tabs>
        <w:spacing w:line="240" w:lineRule="auto" w:before="10" w:after="0"/>
        <w:ind w:left="998" w:right="0" w:hanging="269"/>
        <w:jc w:val="left"/>
        <w:rPr>
          <w:sz w:val="20"/>
        </w:rPr>
      </w:pPr>
      <w:r>
        <w:rPr>
          <w:color w:val="231F20"/>
          <w:spacing w:val="-2"/>
          <w:sz w:val="20"/>
        </w:rPr>
        <w:t>formaldehyde;</w:t>
      </w:r>
    </w:p>
    <w:p>
      <w:pPr>
        <w:pStyle w:val="ListParagraph"/>
        <w:numPr>
          <w:ilvl w:val="0"/>
          <w:numId w:val="1"/>
        </w:numPr>
        <w:tabs>
          <w:tab w:pos="998" w:val="left" w:leader="none"/>
        </w:tabs>
        <w:spacing w:line="240" w:lineRule="auto" w:before="10" w:after="0"/>
        <w:ind w:left="998" w:right="0" w:hanging="269"/>
        <w:jc w:val="left"/>
        <w:rPr>
          <w:sz w:val="20"/>
        </w:rPr>
      </w:pPr>
      <w:r>
        <w:rPr>
          <w:color w:val="231F20"/>
          <w:sz w:val="20"/>
        </w:rPr>
        <w:t>hazardous </w:t>
      </w:r>
      <w:r>
        <w:rPr>
          <w:color w:val="231F20"/>
          <w:spacing w:val="-2"/>
          <w:sz w:val="20"/>
        </w:rPr>
        <w:t>waste;</w:t>
      </w:r>
    </w:p>
    <w:p>
      <w:pPr>
        <w:pStyle w:val="ListParagraph"/>
        <w:numPr>
          <w:ilvl w:val="0"/>
          <w:numId w:val="1"/>
        </w:numPr>
        <w:tabs>
          <w:tab w:pos="998" w:val="left" w:leader="none"/>
        </w:tabs>
        <w:spacing w:line="240" w:lineRule="auto" w:before="10" w:after="0"/>
        <w:ind w:left="998" w:right="0" w:hanging="269"/>
        <w:jc w:val="left"/>
        <w:rPr>
          <w:sz w:val="20"/>
        </w:rPr>
      </w:pPr>
      <w:r>
        <w:rPr>
          <w:color w:val="231F20"/>
          <w:spacing w:val="-2"/>
          <w:sz w:val="20"/>
        </w:rPr>
        <w:t>lead;</w:t>
      </w:r>
    </w:p>
    <w:p>
      <w:pPr>
        <w:pStyle w:val="ListParagraph"/>
        <w:numPr>
          <w:ilvl w:val="0"/>
          <w:numId w:val="1"/>
        </w:numPr>
        <w:tabs>
          <w:tab w:pos="998" w:val="left" w:leader="none"/>
        </w:tabs>
        <w:spacing w:line="240" w:lineRule="auto" w:before="10" w:after="0"/>
        <w:ind w:left="998" w:right="0" w:hanging="269"/>
        <w:jc w:val="left"/>
        <w:rPr>
          <w:sz w:val="20"/>
        </w:rPr>
      </w:pPr>
      <w:r>
        <w:rPr>
          <w:color w:val="231F20"/>
          <w:sz w:val="20"/>
        </w:rPr>
        <w:t>toxic mold; </w:t>
      </w:r>
      <w:r>
        <w:rPr>
          <w:color w:val="231F20"/>
          <w:spacing w:val="-5"/>
          <w:sz w:val="20"/>
        </w:rPr>
        <w:t>and</w:t>
      </w:r>
    </w:p>
    <w:p>
      <w:pPr>
        <w:pStyle w:val="ListParagraph"/>
        <w:numPr>
          <w:ilvl w:val="0"/>
          <w:numId w:val="1"/>
        </w:numPr>
        <w:tabs>
          <w:tab w:pos="998" w:val="left" w:leader="none"/>
        </w:tabs>
        <w:spacing w:line="240" w:lineRule="auto" w:before="10" w:after="0"/>
        <w:ind w:left="998" w:right="0" w:hanging="269"/>
        <w:jc w:val="left"/>
        <w:rPr>
          <w:sz w:val="20"/>
        </w:rPr>
      </w:pPr>
      <w:r>
        <w:rPr>
          <w:color w:val="231F20"/>
          <w:sz w:val="20"/>
        </w:rPr>
        <w:t>radon</w:t>
      </w:r>
      <w:r>
        <w:rPr>
          <w:color w:val="231F20"/>
          <w:spacing w:val="-2"/>
          <w:sz w:val="20"/>
        </w:rPr>
        <w:t> </w:t>
      </w:r>
      <w:r>
        <w:rPr>
          <w:color w:val="231F20"/>
          <w:sz w:val="20"/>
        </w:rPr>
        <w:t>gas</w:t>
      </w:r>
      <w:r>
        <w:rPr>
          <w:color w:val="231F20"/>
          <w:spacing w:val="-2"/>
          <w:sz w:val="20"/>
        </w:rPr>
        <w:t> concentrations.</w:t>
      </w:r>
    </w:p>
    <w:p>
      <w:pPr>
        <w:pStyle w:val="BodyText"/>
        <w:spacing w:line="249" w:lineRule="auto" w:before="94"/>
        <w:ind w:left="319" w:right="457"/>
        <w:jc w:val="both"/>
      </w:pPr>
      <w:r>
        <w:rPr/>
        <w:br w:type="column"/>
      </w:r>
      <w:r>
        <w:rPr>
          <w:color w:val="231F20"/>
        </w:rPr>
        <w:t>The seller’s agent conducts a visual inspection of the property for visible environmental hazards, as well as physical defects, before reviewing the seller-prepared Transfer</w:t>
      </w:r>
      <w:r>
        <w:rPr>
          <w:color w:val="231F20"/>
          <w:spacing w:val="40"/>
        </w:rPr>
        <w:t> </w:t>
      </w:r>
      <w:r>
        <w:rPr>
          <w:color w:val="231F20"/>
        </w:rPr>
        <w:t>Disclosure</w:t>
      </w:r>
      <w:r>
        <w:rPr>
          <w:color w:val="231F20"/>
          <w:spacing w:val="40"/>
        </w:rPr>
        <w:t> </w:t>
      </w:r>
      <w:r>
        <w:rPr>
          <w:color w:val="231F20"/>
        </w:rPr>
        <w:t>Statement</w:t>
      </w:r>
      <w:r>
        <w:rPr>
          <w:color w:val="231F20"/>
          <w:spacing w:val="40"/>
        </w:rPr>
        <w:t> </w:t>
      </w:r>
      <w:r>
        <w:rPr>
          <w:color w:val="231F20"/>
        </w:rPr>
        <w:t>(TDS)</w:t>
      </w:r>
      <w:r>
        <w:rPr>
          <w:color w:val="231F20"/>
          <w:spacing w:val="40"/>
        </w:rPr>
        <w:t> </w:t>
      </w:r>
      <w:r>
        <w:rPr>
          <w:color w:val="231F20"/>
        </w:rPr>
        <w:t>for</w:t>
      </w:r>
      <w:r>
        <w:rPr>
          <w:color w:val="231F20"/>
          <w:spacing w:val="40"/>
        </w:rPr>
        <w:t> </w:t>
      </w:r>
      <w:r>
        <w:rPr>
          <w:color w:val="231F20"/>
        </w:rPr>
        <w:t>correctness.</w:t>
      </w:r>
      <w:r>
        <w:rPr>
          <w:color w:val="231F20"/>
          <w:spacing w:val="40"/>
        </w:rPr>
        <w:t> </w:t>
      </w:r>
      <w:r>
        <w:rPr>
          <w:color w:val="231F20"/>
        </w:rPr>
        <w:t>On review of the TDS, the agent enters on it any of their observations</w:t>
      </w:r>
      <w:r>
        <w:rPr>
          <w:color w:val="231F20"/>
          <w:spacing w:val="-5"/>
        </w:rPr>
        <w:t> </w:t>
      </w:r>
      <w:r>
        <w:rPr>
          <w:color w:val="231F20"/>
        </w:rPr>
        <w:t>inconsistent</w:t>
      </w:r>
      <w:r>
        <w:rPr>
          <w:color w:val="231F20"/>
          <w:spacing w:val="-5"/>
        </w:rPr>
        <w:t> </w:t>
      </w:r>
      <w:r>
        <w:rPr>
          <w:color w:val="231F20"/>
        </w:rPr>
        <w:t>with</w:t>
      </w:r>
      <w:r>
        <w:rPr>
          <w:color w:val="231F20"/>
          <w:spacing w:val="-5"/>
        </w:rPr>
        <w:t> </w:t>
      </w:r>
      <w:r>
        <w:rPr>
          <w:color w:val="231F20"/>
        </w:rPr>
        <w:t>the</w:t>
      </w:r>
      <w:r>
        <w:rPr>
          <w:color w:val="231F20"/>
          <w:spacing w:val="-5"/>
        </w:rPr>
        <w:t> </w:t>
      </w:r>
      <w:r>
        <w:rPr>
          <w:color w:val="231F20"/>
        </w:rPr>
        <w:t>seller’s</w:t>
      </w:r>
      <w:r>
        <w:rPr>
          <w:color w:val="231F20"/>
          <w:spacing w:val="-5"/>
        </w:rPr>
        <w:t> </w:t>
      </w:r>
      <w:r>
        <w:rPr>
          <w:color w:val="231F20"/>
        </w:rPr>
        <w:t>entries</w:t>
      </w:r>
      <w:r>
        <w:rPr>
          <w:color w:val="231F20"/>
          <w:spacing w:val="-5"/>
        </w:rPr>
        <w:t> </w:t>
      </w:r>
      <w:r>
        <w:rPr>
          <w:color w:val="231F20"/>
        </w:rPr>
        <w:t>to</w:t>
      </w:r>
      <w:r>
        <w:rPr>
          <w:color w:val="231F20"/>
          <w:spacing w:val="-5"/>
        </w:rPr>
        <w:t> </w:t>
      </w:r>
      <w:r>
        <w:rPr>
          <w:color w:val="231F20"/>
        </w:rPr>
        <w:t>correct the TDS for seller errors or oversights. The TDS </w:t>
      </w:r>
      <w:r>
        <w:rPr>
          <w:color w:val="231F20"/>
        </w:rPr>
        <w:t>becomes one document in the marketing package used to induce buyers to acquire the property.</w:t>
      </w:r>
    </w:p>
    <w:p>
      <w:pPr>
        <w:pStyle w:val="BodyText"/>
        <w:spacing w:line="249" w:lineRule="auto" w:before="187"/>
        <w:ind w:left="319" w:right="457"/>
        <w:jc w:val="both"/>
      </w:pPr>
      <w:r>
        <w:rPr>
          <w:color w:val="231F20"/>
        </w:rPr>
        <w:t>The</w:t>
      </w:r>
      <w:r>
        <w:rPr>
          <w:color w:val="231F20"/>
          <w:spacing w:val="-8"/>
        </w:rPr>
        <w:t> </w:t>
      </w:r>
      <w:r>
        <w:rPr>
          <w:color w:val="231F20"/>
        </w:rPr>
        <w:t>timing</w:t>
      </w:r>
      <w:r>
        <w:rPr>
          <w:color w:val="231F20"/>
          <w:spacing w:val="-8"/>
        </w:rPr>
        <w:t> </w:t>
      </w:r>
      <w:r>
        <w:rPr>
          <w:color w:val="231F20"/>
        </w:rPr>
        <w:t>for</w:t>
      </w:r>
      <w:r>
        <w:rPr>
          <w:color w:val="231F20"/>
          <w:spacing w:val="-8"/>
        </w:rPr>
        <w:t> </w:t>
      </w:r>
      <w:r>
        <w:rPr>
          <w:color w:val="231F20"/>
        </w:rPr>
        <w:t>delivery</w:t>
      </w:r>
      <w:r>
        <w:rPr>
          <w:color w:val="231F20"/>
          <w:spacing w:val="-7"/>
        </w:rPr>
        <w:t> </w:t>
      </w:r>
      <w:r>
        <w:rPr>
          <w:color w:val="231F20"/>
        </w:rPr>
        <w:t>of</w:t>
      </w:r>
      <w:r>
        <w:rPr>
          <w:color w:val="231F20"/>
          <w:spacing w:val="-8"/>
        </w:rPr>
        <w:t> </w:t>
      </w:r>
      <w:r>
        <w:rPr>
          <w:color w:val="231F20"/>
        </w:rPr>
        <w:t>the</w:t>
      </w:r>
      <w:r>
        <w:rPr>
          <w:color w:val="231F20"/>
          <w:spacing w:val="-11"/>
        </w:rPr>
        <w:t> </w:t>
      </w:r>
      <w:r>
        <w:rPr>
          <w:color w:val="231F20"/>
        </w:rPr>
        <w:t>TDS</w:t>
      </w:r>
      <w:r>
        <w:rPr>
          <w:color w:val="231F20"/>
          <w:spacing w:val="-8"/>
        </w:rPr>
        <w:t> </w:t>
      </w:r>
      <w:r>
        <w:rPr>
          <w:color w:val="231F20"/>
        </w:rPr>
        <w:t>to</w:t>
      </w:r>
      <w:r>
        <w:rPr>
          <w:color w:val="231F20"/>
          <w:spacing w:val="-8"/>
        </w:rPr>
        <w:t> </w:t>
      </w:r>
      <w:r>
        <w:rPr>
          <w:color w:val="231F20"/>
        </w:rPr>
        <w:t>prospective</w:t>
      </w:r>
      <w:r>
        <w:rPr>
          <w:color w:val="231F20"/>
          <w:spacing w:val="-8"/>
        </w:rPr>
        <w:t> </w:t>
      </w:r>
      <w:r>
        <w:rPr>
          <w:color w:val="231F20"/>
        </w:rPr>
        <w:t>buyer</w:t>
      </w:r>
      <w:r>
        <w:rPr>
          <w:color w:val="231F20"/>
          <w:spacing w:val="-8"/>
        </w:rPr>
        <w:t> </w:t>
      </w:r>
      <w:r>
        <w:rPr>
          <w:color w:val="231F20"/>
        </w:rPr>
        <w:t>as</w:t>
      </w:r>
      <w:r>
        <w:rPr>
          <w:color w:val="231F20"/>
          <w:spacing w:val="-8"/>
        </w:rPr>
        <w:t> </w:t>
      </w:r>
      <w:r>
        <w:rPr>
          <w:color w:val="231F20"/>
        </w:rPr>
        <w:t>a disclosure</w:t>
      </w:r>
      <w:r>
        <w:rPr>
          <w:color w:val="231F20"/>
          <w:spacing w:val="-4"/>
        </w:rPr>
        <w:t> </w:t>
      </w:r>
      <w:r>
        <w:rPr>
          <w:color w:val="231F20"/>
        </w:rPr>
        <w:t>is</w:t>
      </w:r>
      <w:r>
        <w:rPr>
          <w:color w:val="231F20"/>
          <w:spacing w:val="-4"/>
        </w:rPr>
        <w:t> </w:t>
      </w:r>
      <w:r>
        <w:rPr>
          <w:color w:val="231F20"/>
        </w:rPr>
        <w:t>as</w:t>
      </w:r>
      <w:r>
        <w:rPr>
          <w:color w:val="231F20"/>
          <w:spacing w:val="-4"/>
        </w:rPr>
        <w:t> </w:t>
      </w:r>
      <w:r>
        <w:rPr>
          <w:color w:val="231F20"/>
        </w:rPr>
        <w:t>soon</w:t>
      </w:r>
      <w:r>
        <w:rPr>
          <w:color w:val="231F20"/>
          <w:spacing w:val="-4"/>
        </w:rPr>
        <w:t> </w:t>
      </w:r>
      <w:r>
        <w:rPr>
          <w:color w:val="231F20"/>
        </w:rPr>
        <w:t>as</w:t>
      </w:r>
      <w:r>
        <w:rPr>
          <w:color w:val="231F20"/>
          <w:spacing w:val="-4"/>
        </w:rPr>
        <w:t> </w:t>
      </w:r>
      <w:r>
        <w:rPr>
          <w:color w:val="231F20"/>
        </w:rPr>
        <w:t>practicable</w:t>
      </w:r>
      <w:r>
        <w:rPr>
          <w:color w:val="231F20"/>
          <w:spacing w:val="-4"/>
        </w:rPr>
        <w:t> </w:t>
      </w:r>
      <w:r>
        <w:rPr>
          <w:color w:val="231F20"/>
        </w:rPr>
        <w:t>(ASAP)</w:t>
      </w:r>
      <w:r>
        <w:rPr>
          <w:color w:val="231F20"/>
          <w:spacing w:val="-4"/>
        </w:rPr>
        <w:t> </w:t>
      </w:r>
      <w:r>
        <w:rPr>
          <w:color w:val="231F20"/>
        </w:rPr>
        <w:t>after</w:t>
      </w:r>
      <w:r>
        <w:rPr>
          <w:color w:val="231F20"/>
          <w:spacing w:val="-4"/>
        </w:rPr>
        <w:t> </w:t>
      </w:r>
      <w:r>
        <w:rPr>
          <w:color w:val="231F20"/>
        </w:rPr>
        <w:t>the</w:t>
      </w:r>
      <w:r>
        <w:rPr>
          <w:color w:val="231F20"/>
          <w:spacing w:val="-4"/>
        </w:rPr>
        <w:t> </w:t>
      </w:r>
      <w:r>
        <w:rPr>
          <w:color w:val="231F20"/>
        </w:rPr>
        <w:t>buyer or their agent makes an inquiry seeking further information on the listed property, usually by delivery of a marketing package which includes the TDS.</w:t>
      </w:r>
      <w:r>
        <w:rPr>
          <w:color w:val="231F20"/>
          <w:spacing w:val="40"/>
        </w:rPr>
        <w:t> </w:t>
      </w:r>
      <w:r>
        <w:rPr>
          <w:color w:val="231F20"/>
        </w:rPr>
        <w:t>Also, the seller’s agent delivers, or confirms the buyer’s agent has handed the prospective buyer a copy of the environmental hazard booklet approved by the California Department of Health and Safety (DHS).</w:t>
      </w:r>
    </w:p>
    <w:p>
      <w:pPr>
        <w:pStyle w:val="BodyText"/>
        <w:spacing w:line="249" w:lineRule="auto" w:before="188"/>
        <w:ind w:left="319" w:right="458"/>
        <w:jc w:val="both"/>
      </w:pPr>
      <w:r>
        <w:rPr>
          <w:color w:val="231F20"/>
        </w:rPr>
        <w:t>The</w:t>
      </w:r>
      <w:r>
        <w:rPr>
          <w:color w:val="231F20"/>
          <w:spacing w:val="-5"/>
        </w:rPr>
        <w:t> </w:t>
      </w:r>
      <w:r>
        <w:rPr>
          <w:color w:val="231F20"/>
        </w:rPr>
        <w:t>seller</w:t>
      </w:r>
      <w:r>
        <w:rPr>
          <w:color w:val="231F20"/>
          <w:spacing w:val="-5"/>
        </w:rPr>
        <w:t> </w:t>
      </w:r>
      <w:r>
        <w:rPr>
          <w:color w:val="231F20"/>
        </w:rPr>
        <w:t>is</w:t>
      </w:r>
      <w:r>
        <w:rPr>
          <w:color w:val="231F20"/>
          <w:spacing w:val="-5"/>
        </w:rPr>
        <w:t> </w:t>
      </w:r>
      <w:r>
        <w:rPr>
          <w:color w:val="231F20"/>
        </w:rPr>
        <w:t>not</w:t>
      </w:r>
      <w:r>
        <w:rPr>
          <w:color w:val="231F20"/>
          <w:spacing w:val="-5"/>
        </w:rPr>
        <w:t> </w:t>
      </w:r>
      <w:r>
        <w:rPr>
          <w:color w:val="231F20"/>
        </w:rPr>
        <w:t>obligated</w:t>
      </w:r>
      <w:r>
        <w:rPr>
          <w:color w:val="231F20"/>
          <w:spacing w:val="-5"/>
        </w:rPr>
        <w:t> </w:t>
      </w:r>
      <w:r>
        <w:rPr>
          <w:color w:val="231F20"/>
        </w:rPr>
        <w:t>to</w:t>
      </w:r>
      <w:r>
        <w:rPr>
          <w:color w:val="231F20"/>
          <w:spacing w:val="-5"/>
        </w:rPr>
        <w:t> </w:t>
      </w:r>
      <w:r>
        <w:rPr>
          <w:color w:val="231F20"/>
        </w:rPr>
        <w:t>hire</w:t>
      </w:r>
      <w:r>
        <w:rPr>
          <w:color w:val="231F20"/>
          <w:spacing w:val="-5"/>
        </w:rPr>
        <w:t> </w:t>
      </w:r>
      <w:r>
        <w:rPr>
          <w:color w:val="231F20"/>
        </w:rPr>
        <w:t>a</w:t>
      </w:r>
      <w:r>
        <w:rPr>
          <w:color w:val="231F20"/>
          <w:spacing w:val="-5"/>
        </w:rPr>
        <w:t> </w:t>
      </w:r>
      <w:r>
        <w:rPr>
          <w:color w:val="231F20"/>
        </w:rPr>
        <w:t>third</w:t>
      </w:r>
      <w:r>
        <w:rPr>
          <w:color w:val="231F20"/>
          <w:spacing w:val="-5"/>
        </w:rPr>
        <w:t> </w:t>
      </w:r>
      <w:r>
        <w:rPr>
          <w:color w:val="231F20"/>
        </w:rPr>
        <w:t>party</w:t>
      </w:r>
      <w:r>
        <w:rPr>
          <w:color w:val="231F20"/>
          <w:spacing w:val="-5"/>
        </w:rPr>
        <w:t> </w:t>
      </w:r>
      <w:r>
        <w:rPr>
          <w:color w:val="231F20"/>
        </w:rPr>
        <w:t>to</w:t>
      </w:r>
      <w:r>
        <w:rPr>
          <w:color w:val="231F20"/>
          <w:spacing w:val="-5"/>
        </w:rPr>
        <w:t> </w:t>
      </w:r>
      <w:r>
        <w:rPr>
          <w:color w:val="231F20"/>
        </w:rPr>
        <w:t>investigate and report on whether an environmental hazard is present on or about the property. It is the seller’s and the seller’s agent’s knowledge about hazardous environmental conditions affecting the property which is disclosed on the </w:t>
      </w:r>
      <w:r>
        <w:rPr>
          <w:color w:val="231F20"/>
          <w:spacing w:val="-4"/>
        </w:rPr>
        <w:t>TDS.</w:t>
      </w:r>
    </w:p>
    <w:p>
      <w:pPr>
        <w:spacing w:after="0" w:line="249" w:lineRule="auto"/>
        <w:jc w:val="both"/>
        <w:sectPr>
          <w:type w:val="continuous"/>
          <w:pgSz w:w="12240" w:h="15840"/>
          <w:pgMar w:top="380" w:bottom="0" w:left="260" w:right="260"/>
          <w:cols w:num="2" w:equalWidth="0">
            <w:col w:w="5681" w:space="40"/>
            <w:col w:w="5999"/>
          </w:cols>
        </w:sectPr>
      </w:pPr>
    </w:p>
    <w:p>
      <w:pPr>
        <w:pStyle w:val="BodyText"/>
        <w:spacing w:before="0"/>
        <w:ind w:left="0"/>
      </w:pPr>
    </w:p>
    <w:p>
      <w:pPr>
        <w:pStyle w:val="BodyText"/>
        <w:spacing w:before="93"/>
        <w:ind w:left="0"/>
      </w:pPr>
    </w:p>
    <w:p>
      <w:pPr>
        <w:spacing w:line="249" w:lineRule="auto" w:before="0"/>
        <w:ind w:left="1136" w:right="8703" w:firstLine="0"/>
        <w:jc w:val="left"/>
        <w:rPr>
          <w:b/>
          <w:sz w:val="20"/>
        </w:rPr>
      </w:pPr>
      <w:r>
        <w:rPr>
          <w:b/>
          <w:sz w:val="20"/>
        </w:rPr>
        <w:t>Christy Dumlao Real</w:t>
      </w:r>
      <w:r>
        <w:rPr>
          <w:b/>
          <w:spacing w:val="-14"/>
          <w:sz w:val="20"/>
        </w:rPr>
        <w:t> </w:t>
      </w:r>
      <w:r>
        <w:rPr>
          <w:b/>
          <w:sz w:val="20"/>
        </w:rPr>
        <w:t>Estate</w:t>
      </w:r>
      <w:r>
        <w:rPr>
          <w:b/>
          <w:spacing w:val="-14"/>
          <w:sz w:val="20"/>
        </w:rPr>
        <w:t> </w:t>
      </w:r>
      <w:r>
        <w:rPr>
          <w:b/>
          <w:sz w:val="20"/>
        </w:rPr>
        <w:t>Broker</w:t>
      </w:r>
    </w:p>
    <w:p>
      <w:pPr>
        <w:pStyle w:val="BodyText"/>
        <w:spacing w:before="122"/>
        <w:ind w:left="1138"/>
      </w:pPr>
      <w:r>
        <w:rPr/>
        <w:drawing>
          <wp:anchor distT="0" distB="0" distL="0" distR="0" allowOverlap="1" layoutInCell="1" locked="0" behindDoc="0" simplePos="0" relativeHeight="15729664">
            <wp:simplePos x="0" y="0"/>
            <wp:positionH relativeFrom="page">
              <wp:posOffset>5689014</wp:posOffset>
            </wp:positionH>
            <wp:positionV relativeFrom="paragraph">
              <wp:posOffset>98042</wp:posOffset>
            </wp:positionV>
            <wp:extent cx="600807" cy="692902"/>
            <wp:effectExtent l="0" t="0" r="0" b="0"/>
            <wp:wrapNone/>
            <wp:docPr id="5" name="Image 5"/>
            <wp:cNvGraphicFramePr>
              <a:graphicFrameLocks/>
            </wp:cNvGraphicFramePr>
            <a:graphic>
              <a:graphicData uri="http://schemas.openxmlformats.org/drawingml/2006/picture">
                <pic:pic>
                  <pic:nvPicPr>
                    <pic:cNvPr id="5" name="Image 5"/>
                    <pic:cNvPicPr/>
                  </pic:nvPicPr>
                  <pic:blipFill>
                    <a:blip r:embed="rId6" cstate="print"/>
                    <a:stretch>
                      <a:fillRect/>
                    </a:stretch>
                  </pic:blipFill>
                  <pic:spPr>
                    <a:xfrm>
                      <a:off x="0" y="0"/>
                      <a:ext cx="600807" cy="692902"/>
                    </a:xfrm>
                    <a:prstGeom prst="rect">
                      <a:avLst/>
                    </a:prstGeom>
                  </pic:spPr>
                </pic:pic>
              </a:graphicData>
            </a:graphic>
          </wp:anchor>
        </w:drawing>
      </w:r>
      <w:r>
        <w:rPr/>
        <w:t>DRE</w:t>
      </w:r>
      <w:r>
        <w:rPr>
          <w:spacing w:val="-4"/>
        </w:rPr>
        <w:t> </w:t>
      </w:r>
      <w:r>
        <w:rPr/>
        <w:t>LIC#</w:t>
      </w:r>
      <w:r>
        <w:rPr>
          <w:spacing w:val="-1"/>
        </w:rPr>
        <w:t> </w:t>
      </w:r>
      <w:r>
        <w:rPr>
          <w:spacing w:val="-2"/>
        </w:rPr>
        <w:t>01474985</w:t>
      </w:r>
    </w:p>
    <w:p>
      <w:pPr>
        <w:pStyle w:val="BodyText"/>
        <w:ind w:left="1138"/>
      </w:pPr>
      <w:r>
        <w:rPr>
          <w:spacing w:val="-2"/>
        </w:rPr>
        <w:t>925-395-</w:t>
      </w:r>
      <w:r>
        <w:rPr>
          <w:spacing w:val="-4"/>
        </w:rPr>
        <w:t>0175</w:t>
      </w:r>
    </w:p>
    <w:p>
      <w:pPr>
        <w:pStyle w:val="BodyText"/>
        <w:spacing w:line="249" w:lineRule="auto"/>
        <w:ind w:left="1138" w:right="5720"/>
      </w:pPr>
      <w:hyperlink r:id="rId7">
        <w:r>
          <w:rPr>
            <w:spacing w:val="-2"/>
          </w:rPr>
          <w:t>christy@christyscarealty.com</w:t>
        </w:r>
      </w:hyperlink>
      <w:r>
        <w:rPr>
          <w:spacing w:val="-2"/>
        </w:rPr>
        <w:t> christyscaliforniarealty.com</w:t>
      </w:r>
    </w:p>
    <w:p>
      <w:pPr>
        <w:pStyle w:val="BodyText"/>
        <w:spacing w:before="0"/>
        <w:ind w:left="0"/>
      </w:pPr>
    </w:p>
    <w:p>
      <w:pPr>
        <w:pStyle w:val="BodyText"/>
        <w:spacing w:before="0"/>
        <w:ind w:left="0"/>
      </w:pPr>
    </w:p>
    <w:p>
      <w:pPr>
        <w:pStyle w:val="BodyText"/>
        <w:spacing w:before="3"/>
        <w:ind w:left="0"/>
      </w:pPr>
      <w:r>
        <w:rPr/>
        <mc:AlternateContent>
          <mc:Choice Requires="wps">
            <w:drawing>
              <wp:anchor distT="0" distB="0" distL="0" distR="0" allowOverlap="1" layoutInCell="1" locked="0" behindDoc="1" simplePos="0" relativeHeight="487588352">
                <wp:simplePos x="0" y="0"/>
                <wp:positionH relativeFrom="page">
                  <wp:posOffset>228600</wp:posOffset>
                </wp:positionH>
                <wp:positionV relativeFrom="paragraph">
                  <wp:posOffset>163182</wp:posOffset>
                </wp:positionV>
                <wp:extent cx="7315200" cy="228600"/>
                <wp:effectExtent l="0" t="0" r="0" b="0"/>
                <wp:wrapTopAndBottom/>
                <wp:docPr id="6" name="Graphic 6"/>
                <wp:cNvGraphicFramePr>
                  <a:graphicFrameLocks/>
                </wp:cNvGraphicFramePr>
                <a:graphic>
                  <a:graphicData uri="http://schemas.microsoft.com/office/word/2010/wordprocessingShape">
                    <wps:wsp>
                      <wps:cNvPr id="6" name="Graphic 6"/>
                      <wps:cNvSpPr/>
                      <wps:spPr>
                        <a:xfrm>
                          <a:off x="0" y="0"/>
                          <a:ext cx="7315200" cy="228600"/>
                        </a:xfrm>
                        <a:custGeom>
                          <a:avLst/>
                          <a:gdLst/>
                          <a:ahLst/>
                          <a:cxnLst/>
                          <a:rect l="l" t="t" r="r" b="b"/>
                          <a:pathLst>
                            <a:path w="7315200" h="228600">
                              <a:moveTo>
                                <a:pt x="7315200" y="0"/>
                              </a:moveTo>
                              <a:lnTo>
                                <a:pt x="0" y="0"/>
                              </a:lnTo>
                              <a:lnTo>
                                <a:pt x="0" y="228600"/>
                              </a:lnTo>
                              <a:lnTo>
                                <a:pt x="7315200" y="228600"/>
                              </a:lnTo>
                              <a:lnTo>
                                <a:pt x="7315200" y="0"/>
                              </a:lnTo>
                              <a:close/>
                            </a:path>
                          </a:pathLst>
                        </a:custGeom>
                        <a:solidFill>
                          <a:srgbClr val="D2232A"/>
                        </a:solidFill>
                      </wps:spPr>
                      <wps:bodyPr wrap="square" lIns="0" tIns="0" rIns="0" bIns="0" rtlCol="0">
                        <a:prstTxWarp prst="textNoShape">
                          <a:avLst/>
                        </a:prstTxWarp>
                        <a:noAutofit/>
                      </wps:bodyPr>
                    </wps:wsp>
                  </a:graphicData>
                </a:graphic>
              </wp:anchor>
            </w:drawing>
          </mc:Choice>
          <mc:Fallback>
            <w:pict>
              <v:rect style="position:absolute;margin-left:18pt;margin-top:12.849024pt;width:576pt;height:18pt;mso-position-horizontal-relative:page;mso-position-vertical-relative:paragraph;z-index:-15728128;mso-wrap-distance-left:0;mso-wrap-distance-right:0" id="docshape5" filled="true" fillcolor="#d2232a" stroked="false">
                <v:fill type="solid"/>
                <w10:wrap type="topAndBottom"/>
              </v:rect>
            </w:pict>
          </mc:Fallback>
        </mc:AlternateContent>
      </w:r>
    </w:p>
    <w:sectPr>
      <w:type w:val="continuous"/>
      <w:pgSz w:w="12240" w:h="15840"/>
      <w:pgMar w:top="380" w:bottom="0" w:left="260" w:right="2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999" w:hanging="270"/>
      </w:pPr>
      <w:rPr>
        <w:rFonts w:hint="default" w:ascii="Arial" w:hAnsi="Arial" w:eastAsia="Arial" w:cs="Arial"/>
        <w:b w:val="0"/>
        <w:bCs w:val="0"/>
        <w:i w:val="0"/>
        <w:iCs w:val="0"/>
        <w:color w:val="231F20"/>
        <w:spacing w:val="0"/>
        <w:w w:val="100"/>
        <w:sz w:val="20"/>
        <w:szCs w:val="20"/>
        <w:lang w:val="en-US" w:eastAsia="en-US" w:bidi="ar-SA"/>
      </w:rPr>
    </w:lvl>
    <w:lvl w:ilvl="1">
      <w:start w:val="0"/>
      <w:numFmt w:val="bullet"/>
      <w:lvlText w:val="•"/>
      <w:lvlJc w:val="left"/>
      <w:pPr>
        <w:ind w:left="1468" w:hanging="270"/>
      </w:pPr>
      <w:rPr>
        <w:rFonts w:hint="default"/>
        <w:lang w:val="en-US" w:eastAsia="en-US" w:bidi="ar-SA"/>
      </w:rPr>
    </w:lvl>
    <w:lvl w:ilvl="2">
      <w:start w:val="0"/>
      <w:numFmt w:val="bullet"/>
      <w:lvlText w:val="•"/>
      <w:lvlJc w:val="left"/>
      <w:pPr>
        <w:ind w:left="1936" w:hanging="270"/>
      </w:pPr>
      <w:rPr>
        <w:rFonts w:hint="default"/>
        <w:lang w:val="en-US" w:eastAsia="en-US" w:bidi="ar-SA"/>
      </w:rPr>
    </w:lvl>
    <w:lvl w:ilvl="3">
      <w:start w:val="0"/>
      <w:numFmt w:val="bullet"/>
      <w:lvlText w:val="•"/>
      <w:lvlJc w:val="left"/>
      <w:pPr>
        <w:ind w:left="2404" w:hanging="270"/>
      </w:pPr>
      <w:rPr>
        <w:rFonts w:hint="default"/>
        <w:lang w:val="en-US" w:eastAsia="en-US" w:bidi="ar-SA"/>
      </w:rPr>
    </w:lvl>
    <w:lvl w:ilvl="4">
      <w:start w:val="0"/>
      <w:numFmt w:val="bullet"/>
      <w:lvlText w:val="•"/>
      <w:lvlJc w:val="left"/>
      <w:pPr>
        <w:ind w:left="2872" w:hanging="270"/>
      </w:pPr>
      <w:rPr>
        <w:rFonts w:hint="default"/>
        <w:lang w:val="en-US" w:eastAsia="en-US" w:bidi="ar-SA"/>
      </w:rPr>
    </w:lvl>
    <w:lvl w:ilvl="5">
      <w:start w:val="0"/>
      <w:numFmt w:val="bullet"/>
      <w:lvlText w:val="•"/>
      <w:lvlJc w:val="left"/>
      <w:pPr>
        <w:ind w:left="3340" w:hanging="270"/>
      </w:pPr>
      <w:rPr>
        <w:rFonts w:hint="default"/>
        <w:lang w:val="en-US" w:eastAsia="en-US" w:bidi="ar-SA"/>
      </w:rPr>
    </w:lvl>
    <w:lvl w:ilvl="6">
      <w:start w:val="0"/>
      <w:numFmt w:val="bullet"/>
      <w:lvlText w:val="•"/>
      <w:lvlJc w:val="left"/>
      <w:pPr>
        <w:ind w:left="3808" w:hanging="270"/>
      </w:pPr>
      <w:rPr>
        <w:rFonts w:hint="default"/>
        <w:lang w:val="en-US" w:eastAsia="en-US" w:bidi="ar-SA"/>
      </w:rPr>
    </w:lvl>
    <w:lvl w:ilvl="7">
      <w:start w:val="0"/>
      <w:numFmt w:val="bullet"/>
      <w:lvlText w:val="•"/>
      <w:lvlJc w:val="left"/>
      <w:pPr>
        <w:ind w:left="4276" w:hanging="270"/>
      </w:pPr>
      <w:rPr>
        <w:rFonts w:hint="default"/>
        <w:lang w:val="en-US" w:eastAsia="en-US" w:bidi="ar-SA"/>
      </w:rPr>
    </w:lvl>
    <w:lvl w:ilvl="8">
      <w:start w:val="0"/>
      <w:numFmt w:val="bullet"/>
      <w:lvlText w:val="•"/>
      <w:lvlJc w:val="left"/>
      <w:pPr>
        <w:ind w:left="4744" w:hanging="270"/>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spacing w:before="10"/>
      <w:ind w:left="998"/>
    </w:pPr>
    <w:rPr>
      <w:rFonts w:ascii="Arial" w:hAnsi="Arial" w:eastAsia="Arial" w:cs="Arial"/>
      <w:sz w:val="20"/>
      <w:szCs w:val="20"/>
      <w:lang w:val="en-US" w:eastAsia="en-US" w:bidi="ar-SA"/>
    </w:rPr>
  </w:style>
  <w:style w:styleId="Title" w:type="paragraph">
    <w:name w:val="Title"/>
    <w:basedOn w:val="Normal"/>
    <w:uiPriority w:val="1"/>
    <w:qFormat/>
    <w:pPr>
      <w:spacing w:line="597" w:lineRule="exact"/>
    </w:pPr>
    <w:rPr>
      <w:rFonts w:ascii="Arial" w:hAnsi="Arial" w:eastAsia="Arial" w:cs="Arial"/>
      <w:b/>
      <w:bCs/>
      <w:sz w:val="53"/>
      <w:szCs w:val="53"/>
      <w:lang w:val="en-US" w:eastAsia="en-US" w:bidi="ar-SA"/>
    </w:rPr>
  </w:style>
  <w:style w:styleId="ListParagraph" w:type="paragraph">
    <w:name w:val="List Paragraph"/>
    <w:basedOn w:val="Normal"/>
    <w:uiPriority w:val="1"/>
    <w:qFormat/>
    <w:pPr>
      <w:spacing w:before="10"/>
      <w:ind w:left="998" w:hanging="269"/>
    </w:pPr>
    <w:rPr>
      <w:rFonts w:ascii="Arial" w:hAnsi="Arial" w:eastAsia="Arial" w:cs="Arial"/>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hyperlink" Target="mailto:christy@christyscarealty.com" TargetMode="Externa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2024-09-09T00:45:18Z</dcterms:created>
  <dcterms:modified xsi:type="dcterms:W3CDTF">2024-09-09T00:45:18Z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2015-12-21T00:00:00Z</vt:filetime>
  </property>
  <property fmtid="{D5CDD505-2E9C-101B-9397-08002B2CF9AE}" pid="3" name="Creator">
    <vt:lpwstr>Adobe LiveCycle Designer 11.0</vt:lpwstr>
  </property>
  <property fmtid="{D5CDD505-2E9C-101B-9397-08002B2CF9AE}" pid="4" name="LastSaved">
    <vt:filetime>2024-09-09T00:00:00Z</vt:filetime>
  </property>
  <property fmtid="{D5CDD505-2E9C-101B-9397-08002B2CF9AE}" pid="5" name="Producer">
    <vt:lpwstr>Adobe LiveCycle Designer 11.0</vt:lpwstr>
  </property>
</Properties>
</file>