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00"/>
        <w:rPr>
          <w:rFonts w:ascii="Times New Roman"/>
          <w:sz w:val="20"/>
        </w:rPr>
      </w:pPr>
      <w:r>
        <w:rPr>
          <w:rFonts w:ascii="Times New Roman"/>
          <w:sz w:val="20"/>
        </w:rPr>
        <mc:AlternateContent>
          <mc:Choice Requires="wps">
            <w:drawing>
              <wp:inline distT="0" distB="0" distL="0" distR="0">
                <wp:extent cx="7315200" cy="3347085"/>
                <wp:effectExtent l="0" t="0" r="0" b="5714"/>
                <wp:docPr id="1" name="Group 1"/>
                <wp:cNvGraphicFramePr>
                  <a:graphicFrameLocks/>
                </wp:cNvGraphicFramePr>
                <a:graphic>
                  <a:graphicData uri="http://schemas.microsoft.com/office/word/2010/wordprocessingGroup">
                    <wpg:wgp>
                      <wpg:cNvPr id="1" name="Group 1"/>
                      <wpg:cNvGrpSpPr/>
                      <wpg:grpSpPr>
                        <a:xfrm>
                          <a:off x="0" y="0"/>
                          <a:ext cx="7315200" cy="3347085"/>
                          <a:chExt cx="7315200" cy="3347085"/>
                        </a:xfrm>
                      </wpg:grpSpPr>
                      <pic:pic>
                        <pic:nvPicPr>
                          <pic:cNvPr id="2" name="Image 2"/>
                          <pic:cNvPicPr/>
                        </pic:nvPicPr>
                        <pic:blipFill>
                          <a:blip r:embed="rId5" cstate="print"/>
                          <a:stretch>
                            <a:fillRect/>
                          </a:stretch>
                        </pic:blipFill>
                        <pic:spPr>
                          <a:xfrm>
                            <a:off x="0" y="0"/>
                            <a:ext cx="7315200" cy="3346704"/>
                          </a:xfrm>
                          <a:prstGeom prst="rect">
                            <a:avLst/>
                          </a:prstGeom>
                        </pic:spPr>
                      </pic:pic>
                      <wps:wsp>
                        <wps:cNvPr id="3" name="Textbox 3"/>
                        <wps:cNvSpPr txBox="1"/>
                        <wps:spPr>
                          <a:xfrm>
                            <a:off x="0" y="1819655"/>
                            <a:ext cx="7315200" cy="835660"/>
                          </a:xfrm>
                          <a:prstGeom prst="rect">
                            <a:avLst/>
                          </a:prstGeom>
                          <a:solidFill>
                            <a:srgbClr val="D2232A">
                              <a:alpha val="79998"/>
                            </a:srgbClr>
                          </a:solidFill>
                        </wps:spPr>
                        <wps:txbx>
                          <w:txbxContent>
                            <w:p>
                              <w:pPr>
                                <w:spacing w:before="402"/>
                                <w:ind w:left="86" w:right="0" w:firstLine="0"/>
                                <w:jc w:val="center"/>
                                <w:rPr>
                                  <w:rFonts w:ascii="Times New Roman"/>
                                  <w:b/>
                                  <w:color w:val="000000"/>
                                  <w:sz w:val="46"/>
                                </w:rPr>
                              </w:pPr>
                              <w:r>
                                <w:rPr>
                                  <w:rFonts w:ascii="Times New Roman"/>
                                  <w:b/>
                                  <w:color w:val="FFFFFF"/>
                                  <w:w w:val="110"/>
                                  <w:sz w:val="46"/>
                                </w:rPr>
                                <w:t>What</w:t>
                              </w:r>
                              <w:r>
                                <w:rPr>
                                  <w:rFonts w:ascii="Times New Roman"/>
                                  <w:b/>
                                  <w:color w:val="FFFFFF"/>
                                  <w:spacing w:val="-6"/>
                                  <w:w w:val="110"/>
                                  <w:sz w:val="46"/>
                                </w:rPr>
                                <w:t> </w:t>
                              </w:r>
                              <w:r>
                                <w:rPr>
                                  <w:rFonts w:ascii="Times New Roman"/>
                                  <w:b/>
                                  <w:color w:val="FFFFFF"/>
                                  <w:w w:val="110"/>
                                  <w:sz w:val="46"/>
                                </w:rPr>
                                <w:t>is</w:t>
                              </w:r>
                              <w:r>
                                <w:rPr>
                                  <w:rFonts w:ascii="Times New Roman"/>
                                  <w:b/>
                                  <w:color w:val="FFFFFF"/>
                                  <w:spacing w:val="-6"/>
                                  <w:w w:val="110"/>
                                  <w:sz w:val="46"/>
                                </w:rPr>
                                <w:t> </w:t>
                              </w:r>
                              <w:r>
                                <w:rPr>
                                  <w:rFonts w:ascii="Times New Roman"/>
                                  <w:b/>
                                  <w:color w:val="FFFFFF"/>
                                  <w:w w:val="110"/>
                                  <w:sz w:val="46"/>
                                </w:rPr>
                                <w:t>an</w:t>
                              </w:r>
                              <w:r>
                                <w:rPr>
                                  <w:rFonts w:ascii="Times New Roman"/>
                                  <w:b/>
                                  <w:color w:val="FFFFFF"/>
                                  <w:spacing w:val="-5"/>
                                  <w:w w:val="110"/>
                                  <w:sz w:val="46"/>
                                </w:rPr>
                                <w:t> </w:t>
                              </w:r>
                              <w:r>
                                <w:rPr>
                                  <w:rFonts w:ascii="Times New Roman"/>
                                  <w:b/>
                                  <w:color w:val="FFFFFF"/>
                                  <w:w w:val="110"/>
                                  <w:sz w:val="46"/>
                                </w:rPr>
                                <w:t>equity</w:t>
                              </w:r>
                              <w:r>
                                <w:rPr>
                                  <w:rFonts w:ascii="Times New Roman"/>
                                  <w:b/>
                                  <w:color w:val="FFFFFF"/>
                                  <w:spacing w:val="-6"/>
                                  <w:w w:val="110"/>
                                  <w:sz w:val="46"/>
                                </w:rPr>
                                <w:t> </w:t>
                              </w:r>
                              <w:r>
                                <w:rPr>
                                  <w:rFonts w:ascii="Times New Roman"/>
                                  <w:b/>
                                  <w:color w:val="FFFFFF"/>
                                  <w:w w:val="110"/>
                                  <w:sz w:val="46"/>
                                </w:rPr>
                                <w:t>purchase</w:t>
                              </w:r>
                              <w:r>
                                <w:rPr>
                                  <w:rFonts w:ascii="Times New Roman"/>
                                  <w:b/>
                                  <w:color w:val="FFFFFF"/>
                                  <w:spacing w:val="-5"/>
                                  <w:w w:val="110"/>
                                  <w:sz w:val="46"/>
                                </w:rPr>
                                <w:t> </w:t>
                              </w:r>
                              <w:r>
                                <w:rPr>
                                  <w:rFonts w:ascii="Times New Roman"/>
                                  <w:b/>
                                  <w:color w:val="FFFFFF"/>
                                  <w:spacing w:val="-2"/>
                                  <w:w w:val="110"/>
                                  <w:sz w:val="46"/>
                                </w:rPr>
                                <w:t>transaction?</w:t>
                              </w:r>
                            </w:p>
                          </w:txbxContent>
                        </wps:txbx>
                        <wps:bodyPr wrap="square" lIns="0" tIns="0" rIns="0" bIns="0" rtlCol="0">
                          <a:noAutofit/>
                        </wps:bodyPr>
                      </wps:wsp>
                    </wpg:wgp>
                  </a:graphicData>
                </a:graphic>
              </wp:inline>
            </w:drawing>
          </mc:Choice>
          <mc:Fallback>
            <w:pict>
              <v:group style="width:576pt;height:263.55pt;mso-position-horizontal-relative:char;mso-position-vertical-relative:line" id="docshapegroup1" coordorigin="0,0" coordsize="11520,5271">
                <v:shape style="position:absolute;left:0;top:0;width:11520;height:5271" type="#_x0000_t75" id="docshape2" stroked="false">
                  <v:imagedata r:id="rId5" o:title=""/>
                </v:shape>
                <v:shapetype id="_x0000_t202" o:spt="202" coordsize="21600,21600" path="m,l,21600r21600,l21600,xe">
                  <v:stroke joinstyle="miter"/>
                  <v:path gradientshapeok="t" o:connecttype="rect"/>
                </v:shapetype>
                <v:shape style="position:absolute;left:0;top:2865;width:11520;height:1316" type="#_x0000_t202" id="docshape3" filled="true" fillcolor="#d2232a" stroked="false">
                  <v:textbox inset="0,0,0,0">
                    <w:txbxContent>
                      <w:p>
                        <w:pPr>
                          <w:spacing w:before="402"/>
                          <w:ind w:left="86" w:right="0" w:firstLine="0"/>
                          <w:jc w:val="center"/>
                          <w:rPr>
                            <w:rFonts w:ascii="Times New Roman"/>
                            <w:b/>
                            <w:color w:val="000000"/>
                            <w:sz w:val="46"/>
                          </w:rPr>
                        </w:pPr>
                        <w:r>
                          <w:rPr>
                            <w:rFonts w:ascii="Times New Roman"/>
                            <w:b/>
                            <w:color w:val="FFFFFF"/>
                            <w:w w:val="110"/>
                            <w:sz w:val="46"/>
                          </w:rPr>
                          <w:t>What</w:t>
                        </w:r>
                        <w:r>
                          <w:rPr>
                            <w:rFonts w:ascii="Times New Roman"/>
                            <w:b/>
                            <w:color w:val="FFFFFF"/>
                            <w:spacing w:val="-6"/>
                            <w:w w:val="110"/>
                            <w:sz w:val="46"/>
                          </w:rPr>
                          <w:t> </w:t>
                        </w:r>
                        <w:r>
                          <w:rPr>
                            <w:rFonts w:ascii="Times New Roman"/>
                            <w:b/>
                            <w:color w:val="FFFFFF"/>
                            <w:w w:val="110"/>
                            <w:sz w:val="46"/>
                          </w:rPr>
                          <w:t>is</w:t>
                        </w:r>
                        <w:r>
                          <w:rPr>
                            <w:rFonts w:ascii="Times New Roman"/>
                            <w:b/>
                            <w:color w:val="FFFFFF"/>
                            <w:spacing w:val="-6"/>
                            <w:w w:val="110"/>
                            <w:sz w:val="46"/>
                          </w:rPr>
                          <w:t> </w:t>
                        </w:r>
                        <w:r>
                          <w:rPr>
                            <w:rFonts w:ascii="Times New Roman"/>
                            <w:b/>
                            <w:color w:val="FFFFFF"/>
                            <w:w w:val="110"/>
                            <w:sz w:val="46"/>
                          </w:rPr>
                          <w:t>an</w:t>
                        </w:r>
                        <w:r>
                          <w:rPr>
                            <w:rFonts w:ascii="Times New Roman"/>
                            <w:b/>
                            <w:color w:val="FFFFFF"/>
                            <w:spacing w:val="-5"/>
                            <w:w w:val="110"/>
                            <w:sz w:val="46"/>
                          </w:rPr>
                          <w:t> </w:t>
                        </w:r>
                        <w:r>
                          <w:rPr>
                            <w:rFonts w:ascii="Times New Roman"/>
                            <w:b/>
                            <w:color w:val="FFFFFF"/>
                            <w:w w:val="110"/>
                            <w:sz w:val="46"/>
                          </w:rPr>
                          <w:t>equity</w:t>
                        </w:r>
                        <w:r>
                          <w:rPr>
                            <w:rFonts w:ascii="Times New Roman"/>
                            <w:b/>
                            <w:color w:val="FFFFFF"/>
                            <w:spacing w:val="-6"/>
                            <w:w w:val="110"/>
                            <w:sz w:val="46"/>
                          </w:rPr>
                          <w:t> </w:t>
                        </w:r>
                        <w:r>
                          <w:rPr>
                            <w:rFonts w:ascii="Times New Roman"/>
                            <w:b/>
                            <w:color w:val="FFFFFF"/>
                            <w:w w:val="110"/>
                            <w:sz w:val="46"/>
                          </w:rPr>
                          <w:t>purchase</w:t>
                        </w:r>
                        <w:r>
                          <w:rPr>
                            <w:rFonts w:ascii="Times New Roman"/>
                            <w:b/>
                            <w:color w:val="FFFFFF"/>
                            <w:spacing w:val="-5"/>
                            <w:w w:val="110"/>
                            <w:sz w:val="46"/>
                          </w:rPr>
                          <w:t> </w:t>
                        </w:r>
                        <w:r>
                          <w:rPr>
                            <w:rFonts w:ascii="Times New Roman"/>
                            <w:b/>
                            <w:color w:val="FFFFFF"/>
                            <w:spacing w:val="-2"/>
                            <w:w w:val="110"/>
                            <w:sz w:val="46"/>
                          </w:rPr>
                          <w:t>transaction?</w:t>
                        </w:r>
                      </w:p>
                    </w:txbxContent>
                  </v:textbox>
                  <v:fill opacity="52428f" type="solid"/>
                  <w10:wrap type="none"/>
                </v:shape>
              </v:group>
            </w:pict>
          </mc:Fallback>
        </mc:AlternateContent>
      </w:r>
      <w:r>
        <w:rPr>
          <w:rFonts w:ascii="Times New Roman"/>
          <w:sz w:val="20"/>
        </w:rPr>
      </w:r>
    </w:p>
    <w:p>
      <w:pPr>
        <w:pStyle w:val="BodyText"/>
        <w:spacing w:before="187"/>
        <w:rPr>
          <w:rFonts w:ascii="Times New Roman"/>
          <w:sz w:val="20"/>
        </w:rPr>
      </w:pPr>
    </w:p>
    <w:p>
      <w:pPr>
        <w:spacing w:after="0"/>
        <w:rPr>
          <w:rFonts w:ascii="Times New Roman"/>
          <w:sz w:val="20"/>
        </w:rPr>
        <w:sectPr>
          <w:type w:val="continuous"/>
          <w:pgSz w:w="12240" w:h="15840"/>
          <w:pgMar w:top="380" w:bottom="0" w:left="260" w:right="260"/>
        </w:sectPr>
      </w:pPr>
    </w:p>
    <w:p>
      <w:pPr>
        <w:pStyle w:val="BodyText"/>
        <w:spacing w:before="92"/>
        <w:ind w:left="460" w:firstLine="694"/>
        <w:jc w:val="right"/>
      </w:pPr>
      <w:r>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ragraph">
                  <wp:posOffset>77227</wp:posOffset>
                </wp:positionV>
                <wp:extent cx="349885" cy="3702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49885" cy="370205"/>
                        </a:xfrm>
                        <a:prstGeom prst="rect">
                          <a:avLst/>
                        </a:prstGeom>
                      </wps:spPr>
                      <wps:txbx>
                        <w:txbxContent>
                          <w:p>
                            <w:pPr>
                              <w:spacing w:line="582" w:lineRule="exact" w:before="0"/>
                              <w:ind w:left="0" w:right="0" w:firstLine="0"/>
                              <w:jc w:val="left"/>
                              <w:rPr>
                                <w:b/>
                                <w:sz w:val="52"/>
                              </w:rPr>
                            </w:pPr>
                            <w:r>
                              <w:rPr>
                                <w:b/>
                                <w:color w:val="D2232A"/>
                                <w:spacing w:val="-5"/>
                                <w:sz w:val="52"/>
                              </w:rPr>
                              <w:t>A:</w:t>
                            </w:r>
                          </w:p>
                        </w:txbxContent>
                      </wps:txbx>
                      <wps:bodyPr wrap="square" lIns="0" tIns="0" rIns="0" bIns="0" rtlCol="0">
                        <a:noAutofit/>
                      </wps:bodyPr>
                    </wps:wsp>
                  </a:graphicData>
                </a:graphic>
              </wp:anchor>
            </w:drawing>
          </mc:Choice>
          <mc:Fallback>
            <w:pict>
              <v:shape style="position:absolute;margin-left:36pt;margin-top:6.080872pt;width:27.55pt;height:29.15pt;mso-position-horizontal-relative:page;mso-position-vertical-relative:paragraph;z-index:15730176" type="#_x0000_t202" id="docshape4" filled="false" stroked="false">
                <v:textbox inset="0,0,0,0">
                  <w:txbxContent>
                    <w:p>
                      <w:pPr>
                        <w:spacing w:line="582" w:lineRule="exact" w:before="0"/>
                        <w:ind w:left="0" w:right="0" w:firstLine="0"/>
                        <w:jc w:val="left"/>
                        <w:rPr>
                          <w:b/>
                          <w:sz w:val="52"/>
                        </w:rPr>
                      </w:pPr>
                      <w:r>
                        <w:rPr>
                          <w:b/>
                          <w:color w:val="D2232A"/>
                          <w:spacing w:val="-5"/>
                          <w:sz w:val="52"/>
                        </w:rPr>
                        <w:t>A:</w:t>
                      </w:r>
                    </w:p>
                  </w:txbxContent>
                </v:textbox>
                <w10:wrap type="none"/>
              </v:shape>
            </w:pict>
          </mc:Fallback>
        </mc:AlternateContent>
      </w:r>
      <w:r>
        <w:rPr>
          <w:color w:val="231F20"/>
          <w:spacing w:val="-2"/>
        </w:rPr>
        <w:t>An</w:t>
      </w:r>
      <w:r>
        <w:rPr>
          <w:color w:val="231F20"/>
          <w:spacing w:val="-11"/>
        </w:rPr>
        <w:t> </w:t>
      </w:r>
      <w:r>
        <w:rPr>
          <w:color w:val="231F20"/>
          <w:spacing w:val="-2"/>
        </w:rPr>
        <w:t>equity</w:t>
      </w:r>
      <w:r>
        <w:rPr>
          <w:color w:val="231F20"/>
          <w:spacing w:val="-12"/>
        </w:rPr>
        <w:t> </w:t>
      </w:r>
      <w:r>
        <w:rPr>
          <w:color w:val="231F20"/>
          <w:spacing w:val="-2"/>
        </w:rPr>
        <w:t>purchase</w:t>
      </w:r>
      <w:r>
        <w:rPr>
          <w:color w:val="231F20"/>
          <w:spacing w:val="-11"/>
        </w:rPr>
        <w:t> </w:t>
      </w:r>
      <w:r>
        <w:rPr>
          <w:color w:val="231F20"/>
          <w:spacing w:val="-2"/>
        </w:rPr>
        <w:t>(EP)</w:t>
      </w:r>
      <w:r>
        <w:rPr>
          <w:color w:val="231F20"/>
          <w:spacing w:val="-12"/>
        </w:rPr>
        <w:t> </w:t>
      </w:r>
      <w:r>
        <w:rPr>
          <w:color w:val="231F20"/>
          <w:spacing w:val="-2"/>
        </w:rPr>
        <w:t>transaction</w:t>
      </w:r>
      <w:r>
        <w:rPr>
          <w:color w:val="231F20"/>
          <w:spacing w:val="-11"/>
        </w:rPr>
        <w:t> </w:t>
      </w:r>
      <w:r>
        <w:rPr>
          <w:color w:val="231F20"/>
          <w:spacing w:val="-2"/>
        </w:rPr>
        <w:t>occurs </w:t>
      </w:r>
      <w:r>
        <w:rPr>
          <w:color w:val="231F20"/>
        </w:rPr>
        <w:t>when</w:t>
      </w:r>
      <w:r>
        <w:rPr>
          <w:color w:val="231F20"/>
          <w:spacing w:val="40"/>
        </w:rPr>
        <w:t> </w:t>
      </w:r>
      <w:r>
        <w:rPr>
          <w:color w:val="231F20"/>
        </w:rPr>
        <w:t>an</w:t>
      </w:r>
      <w:r>
        <w:rPr>
          <w:color w:val="231F20"/>
          <w:spacing w:val="40"/>
        </w:rPr>
        <w:t> </w:t>
      </w:r>
      <w:r>
        <w:rPr>
          <w:color w:val="231F20"/>
        </w:rPr>
        <w:t>investor</w:t>
      </w:r>
      <w:r>
        <w:rPr>
          <w:color w:val="231F20"/>
          <w:spacing w:val="40"/>
        </w:rPr>
        <w:t> </w:t>
      </w:r>
      <w:r>
        <w:rPr>
          <w:color w:val="231F20"/>
        </w:rPr>
        <w:t>begins</w:t>
      </w:r>
      <w:r>
        <w:rPr>
          <w:color w:val="231F20"/>
          <w:spacing w:val="40"/>
        </w:rPr>
        <w:t> </w:t>
      </w:r>
      <w:r>
        <w:rPr>
          <w:color w:val="231F20"/>
        </w:rPr>
        <w:t>negotiations</w:t>
      </w:r>
      <w:r>
        <w:rPr>
          <w:color w:val="231F20"/>
          <w:spacing w:val="40"/>
        </w:rPr>
        <w:t> </w:t>
      </w:r>
      <w:r>
        <w:rPr>
          <w:color w:val="231F20"/>
        </w:rPr>
        <w:t>to acquire</w:t>
      </w:r>
      <w:r>
        <w:rPr>
          <w:color w:val="231F20"/>
          <w:spacing w:val="40"/>
        </w:rPr>
        <w:t> </w:t>
      </w:r>
      <w:r>
        <w:rPr>
          <w:color w:val="231F20"/>
        </w:rPr>
        <w:t>a</w:t>
      </w:r>
      <w:r>
        <w:rPr>
          <w:color w:val="231F20"/>
          <w:spacing w:val="40"/>
        </w:rPr>
        <w:t> </w:t>
      </w:r>
      <w:r>
        <w:rPr>
          <w:color w:val="231F20"/>
        </w:rPr>
        <w:t>one-to-four</w:t>
      </w:r>
      <w:r>
        <w:rPr>
          <w:color w:val="231F20"/>
          <w:spacing w:val="40"/>
        </w:rPr>
        <w:t> </w:t>
      </w:r>
      <w:r>
        <w:rPr>
          <w:color w:val="231F20"/>
        </w:rPr>
        <w:t>unit</w:t>
      </w:r>
      <w:r>
        <w:rPr>
          <w:color w:val="231F20"/>
          <w:spacing w:val="40"/>
        </w:rPr>
        <w:t> </w:t>
      </w:r>
      <w:r>
        <w:rPr>
          <w:color w:val="231F20"/>
        </w:rPr>
        <w:t>residential</w:t>
      </w:r>
      <w:r>
        <w:rPr>
          <w:color w:val="231F20"/>
          <w:spacing w:val="40"/>
        </w:rPr>
        <w:t> </w:t>
      </w:r>
      <w:r>
        <w:rPr>
          <w:color w:val="231F20"/>
        </w:rPr>
        <w:t>property while</w:t>
      </w:r>
      <w:r>
        <w:rPr>
          <w:color w:val="231F20"/>
          <w:spacing w:val="22"/>
        </w:rPr>
        <w:t> </w:t>
      </w:r>
      <w:r>
        <w:rPr>
          <w:color w:val="231F20"/>
        </w:rPr>
        <w:t>it</w:t>
      </w:r>
      <w:r>
        <w:rPr>
          <w:color w:val="231F20"/>
          <w:spacing w:val="25"/>
        </w:rPr>
        <w:t> </w:t>
      </w:r>
      <w:r>
        <w:rPr>
          <w:color w:val="231F20"/>
        </w:rPr>
        <w:t>is</w:t>
      </w:r>
      <w:r>
        <w:rPr>
          <w:color w:val="231F20"/>
          <w:spacing w:val="24"/>
        </w:rPr>
        <w:t> </w:t>
      </w:r>
      <w:r>
        <w:rPr>
          <w:color w:val="231F20"/>
        </w:rPr>
        <w:t>in</w:t>
      </w:r>
      <w:r>
        <w:rPr>
          <w:color w:val="231F20"/>
          <w:spacing w:val="25"/>
        </w:rPr>
        <w:t> </w:t>
      </w:r>
      <w:r>
        <w:rPr>
          <w:color w:val="231F20"/>
        </w:rPr>
        <w:t>foreclosure</w:t>
      </w:r>
      <w:r>
        <w:rPr>
          <w:color w:val="231F20"/>
          <w:spacing w:val="25"/>
        </w:rPr>
        <w:t> </w:t>
      </w:r>
      <w:r>
        <w:rPr>
          <w:color w:val="231F20"/>
        </w:rPr>
        <w:t>and</w:t>
      </w:r>
      <w:r>
        <w:rPr>
          <w:color w:val="231F20"/>
          <w:spacing w:val="24"/>
        </w:rPr>
        <w:t> </w:t>
      </w:r>
      <w:r>
        <w:rPr>
          <w:color w:val="231F20"/>
        </w:rPr>
        <w:t>the</w:t>
      </w:r>
      <w:r>
        <w:rPr>
          <w:color w:val="231F20"/>
          <w:spacing w:val="25"/>
        </w:rPr>
        <w:t> </w:t>
      </w:r>
      <w:r>
        <w:rPr>
          <w:color w:val="231F20"/>
        </w:rPr>
        <w:t>seller</w:t>
      </w:r>
      <w:r>
        <w:rPr>
          <w:color w:val="231F20"/>
          <w:spacing w:val="25"/>
        </w:rPr>
        <w:t> </w:t>
      </w:r>
      <w:r>
        <w:rPr>
          <w:color w:val="231F20"/>
          <w:spacing w:val="-2"/>
        </w:rPr>
        <w:t>occupies</w:t>
      </w:r>
    </w:p>
    <w:p>
      <w:pPr>
        <w:spacing w:before="0"/>
        <w:ind w:left="460" w:right="0" w:firstLine="0"/>
        <w:jc w:val="both"/>
        <w:rPr>
          <w:sz w:val="24"/>
        </w:rPr>
      </w:pPr>
      <w:r>
        <w:rPr>
          <w:color w:val="231F20"/>
          <w:sz w:val="24"/>
        </w:rPr>
        <w:t>it</w:t>
      </w:r>
      <w:r>
        <w:rPr>
          <w:color w:val="231F20"/>
          <w:spacing w:val="-4"/>
          <w:sz w:val="24"/>
        </w:rPr>
        <w:t> </w:t>
      </w:r>
      <w:r>
        <w:rPr>
          <w:color w:val="231F20"/>
          <w:sz w:val="24"/>
        </w:rPr>
        <w:t>in</w:t>
      </w:r>
      <w:r>
        <w:rPr>
          <w:color w:val="231F20"/>
          <w:spacing w:val="-2"/>
          <w:sz w:val="24"/>
        </w:rPr>
        <w:t> </w:t>
      </w:r>
      <w:r>
        <w:rPr>
          <w:color w:val="231F20"/>
          <w:sz w:val="24"/>
        </w:rPr>
        <w:t>whole</w:t>
      </w:r>
      <w:r>
        <w:rPr>
          <w:color w:val="231F20"/>
          <w:spacing w:val="-1"/>
          <w:sz w:val="24"/>
        </w:rPr>
        <w:t> </w:t>
      </w:r>
      <w:r>
        <w:rPr>
          <w:color w:val="231F20"/>
          <w:sz w:val="24"/>
        </w:rPr>
        <w:t>or</w:t>
      </w:r>
      <w:r>
        <w:rPr>
          <w:color w:val="231F20"/>
          <w:spacing w:val="-2"/>
          <w:sz w:val="24"/>
        </w:rPr>
        <w:t> </w:t>
      </w:r>
      <w:r>
        <w:rPr>
          <w:color w:val="231F20"/>
          <w:sz w:val="24"/>
        </w:rPr>
        <w:t>in</w:t>
      </w:r>
      <w:r>
        <w:rPr>
          <w:color w:val="231F20"/>
          <w:spacing w:val="-1"/>
          <w:sz w:val="24"/>
        </w:rPr>
        <w:t> </w:t>
      </w:r>
      <w:r>
        <w:rPr>
          <w:color w:val="231F20"/>
          <w:sz w:val="24"/>
        </w:rPr>
        <w:t>part</w:t>
      </w:r>
      <w:r>
        <w:rPr>
          <w:color w:val="231F20"/>
          <w:spacing w:val="-2"/>
          <w:sz w:val="24"/>
        </w:rPr>
        <w:t> </w:t>
      </w:r>
      <w:r>
        <w:rPr>
          <w:color w:val="231F20"/>
          <w:sz w:val="24"/>
        </w:rPr>
        <w:t>as</w:t>
      </w:r>
      <w:r>
        <w:rPr>
          <w:color w:val="231F20"/>
          <w:spacing w:val="-1"/>
          <w:sz w:val="24"/>
        </w:rPr>
        <w:t> </w:t>
      </w:r>
      <w:r>
        <w:rPr>
          <w:color w:val="231F20"/>
          <w:sz w:val="24"/>
        </w:rPr>
        <w:t>their</w:t>
      </w:r>
      <w:r>
        <w:rPr>
          <w:color w:val="231F20"/>
          <w:spacing w:val="-3"/>
          <w:sz w:val="24"/>
        </w:rPr>
        <w:t> </w:t>
      </w:r>
      <w:r>
        <w:rPr>
          <w:i/>
          <w:color w:val="231F20"/>
          <w:sz w:val="24"/>
        </w:rPr>
        <w:t>principal</w:t>
      </w:r>
      <w:r>
        <w:rPr>
          <w:i/>
          <w:color w:val="231F20"/>
          <w:spacing w:val="-1"/>
          <w:sz w:val="24"/>
        </w:rPr>
        <w:t> </w:t>
      </w:r>
      <w:r>
        <w:rPr>
          <w:i/>
          <w:color w:val="231F20"/>
          <w:spacing w:val="-2"/>
          <w:sz w:val="24"/>
        </w:rPr>
        <w:t>residence</w:t>
      </w:r>
      <w:r>
        <w:rPr>
          <w:color w:val="231F20"/>
          <w:spacing w:val="-2"/>
          <w:sz w:val="24"/>
        </w:rPr>
        <w:t>.</w:t>
      </w:r>
    </w:p>
    <w:p>
      <w:pPr>
        <w:pStyle w:val="BodyText"/>
        <w:ind w:left="460"/>
        <w:jc w:val="both"/>
      </w:pPr>
      <w:r>
        <w:rPr>
          <w:color w:val="231F20"/>
        </w:rPr>
        <w:t>In an EP transaction, the seller conveys title to their residence-in-foreclosure to an investor who acquires it for:</w:t>
      </w:r>
    </w:p>
    <w:p>
      <w:pPr>
        <w:pStyle w:val="ListParagraph"/>
        <w:numPr>
          <w:ilvl w:val="0"/>
          <w:numId w:val="1"/>
        </w:numPr>
        <w:tabs>
          <w:tab w:pos="999" w:val="left" w:leader="none"/>
        </w:tabs>
        <w:spacing w:line="240" w:lineRule="auto" w:before="180" w:after="0"/>
        <w:ind w:left="999" w:right="0" w:hanging="269"/>
        <w:jc w:val="left"/>
        <w:rPr>
          <w:sz w:val="24"/>
        </w:rPr>
      </w:pPr>
      <w:r>
        <w:rPr>
          <w:color w:val="231F20"/>
          <w:sz w:val="24"/>
        </w:rPr>
        <w:t>dealer </w:t>
      </w:r>
      <w:r>
        <w:rPr>
          <w:color w:val="231F20"/>
          <w:spacing w:val="-2"/>
          <w:sz w:val="24"/>
        </w:rPr>
        <w:t>purposes;</w:t>
      </w:r>
    </w:p>
    <w:p>
      <w:pPr>
        <w:pStyle w:val="ListParagraph"/>
        <w:numPr>
          <w:ilvl w:val="0"/>
          <w:numId w:val="1"/>
        </w:numPr>
        <w:tabs>
          <w:tab w:pos="999" w:val="left" w:leader="none"/>
        </w:tabs>
        <w:spacing w:line="240" w:lineRule="auto" w:before="180" w:after="0"/>
        <w:ind w:left="999" w:right="0" w:hanging="269"/>
        <w:jc w:val="left"/>
        <w:rPr>
          <w:sz w:val="24"/>
        </w:rPr>
      </w:pPr>
      <w:r>
        <w:rPr>
          <w:color w:val="231F20"/>
          <w:sz w:val="24"/>
        </w:rPr>
        <w:t>investment purposes; </w:t>
      </w:r>
      <w:r>
        <w:rPr>
          <w:color w:val="231F20"/>
          <w:spacing w:val="-5"/>
          <w:sz w:val="24"/>
        </w:rPr>
        <w:t>or</w:t>
      </w:r>
    </w:p>
    <w:p>
      <w:pPr>
        <w:pStyle w:val="ListParagraph"/>
        <w:numPr>
          <w:ilvl w:val="0"/>
          <w:numId w:val="1"/>
        </w:numPr>
        <w:tabs>
          <w:tab w:pos="999" w:val="left" w:leader="none"/>
        </w:tabs>
        <w:spacing w:line="240" w:lineRule="auto" w:before="180" w:after="0"/>
        <w:ind w:left="999" w:right="0" w:hanging="269"/>
        <w:jc w:val="left"/>
        <w:rPr>
          <w:sz w:val="24"/>
        </w:rPr>
      </w:pPr>
      <w:r>
        <w:rPr>
          <w:color w:val="231F20"/>
          <w:sz w:val="24"/>
        </w:rPr>
        <w:t>purposes of </w:t>
      </w:r>
      <w:r>
        <w:rPr>
          <w:color w:val="231F20"/>
          <w:spacing w:val="-2"/>
          <w:sz w:val="24"/>
        </w:rPr>
        <w:t>security.</w:t>
      </w:r>
    </w:p>
    <w:p>
      <w:pPr>
        <w:pStyle w:val="BodyText"/>
        <w:ind w:left="460"/>
        <w:jc w:val="both"/>
      </w:pPr>
      <w:r>
        <w:rPr>
          <w:color w:val="231F20"/>
        </w:rPr>
        <w:t>A</w:t>
      </w:r>
      <w:r>
        <w:rPr>
          <w:color w:val="231F20"/>
          <w:spacing w:val="-1"/>
        </w:rPr>
        <w:t> </w:t>
      </w:r>
      <w:r>
        <w:rPr>
          <w:color w:val="231F20"/>
        </w:rPr>
        <w:t>buyer who acquires title to an owner-occupied property in foreclosure and does not occupy the property</w:t>
      </w:r>
      <w:r>
        <w:rPr>
          <w:color w:val="231F20"/>
          <w:spacing w:val="-8"/>
        </w:rPr>
        <w:t> </w:t>
      </w:r>
      <w:r>
        <w:rPr>
          <w:color w:val="231F20"/>
        </w:rPr>
        <w:t>themselves</w:t>
      </w:r>
      <w:r>
        <w:rPr>
          <w:color w:val="231F20"/>
          <w:spacing w:val="-8"/>
        </w:rPr>
        <w:t> </w:t>
      </w:r>
      <w:r>
        <w:rPr>
          <w:color w:val="231F20"/>
        </w:rPr>
        <w:t>as</w:t>
      </w:r>
      <w:r>
        <w:rPr>
          <w:color w:val="231F20"/>
          <w:spacing w:val="-8"/>
        </w:rPr>
        <w:t> </w:t>
      </w:r>
      <w:r>
        <w:rPr>
          <w:color w:val="231F20"/>
        </w:rPr>
        <w:t>their</w:t>
      </w:r>
      <w:r>
        <w:rPr>
          <w:color w:val="231F20"/>
          <w:spacing w:val="-8"/>
        </w:rPr>
        <w:t> </w:t>
      </w:r>
      <w:r>
        <w:rPr>
          <w:color w:val="231F20"/>
        </w:rPr>
        <w:t>primary</w:t>
      </w:r>
      <w:r>
        <w:rPr>
          <w:color w:val="231F20"/>
          <w:spacing w:val="-8"/>
        </w:rPr>
        <w:t> </w:t>
      </w:r>
      <w:r>
        <w:rPr>
          <w:color w:val="231F20"/>
        </w:rPr>
        <w:t>residence</w:t>
      </w:r>
      <w:r>
        <w:rPr>
          <w:color w:val="231F20"/>
          <w:spacing w:val="-8"/>
        </w:rPr>
        <w:t> </w:t>
      </w:r>
      <w:r>
        <w:rPr>
          <w:color w:val="231F20"/>
        </w:rPr>
        <w:t>is known as an EP investor.</w:t>
      </w:r>
    </w:p>
    <w:p>
      <w:pPr>
        <w:pStyle w:val="BodyText"/>
        <w:ind w:left="460"/>
        <w:jc w:val="both"/>
      </w:pPr>
      <w:r>
        <w:rPr>
          <w:color w:val="231F20"/>
        </w:rPr>
        <w:t>Specific rules give sellers of their principal residence, when in foreclosure, rights </w:t>
      </w:r>
      <w:r>
        <w:rPr>
          <w:color w:val="231F20"/>
        </w:rPr>
        <w:t>and remedies which apply to all EP transactions.</w:t>
      </w:r>
    </w:p>
    <w:p>
      <w:pPr>
        <w:pStyle w:val="BodyText"/>
        <w:spacing w:before="92"/>
        <w:ind w:left="319" w:right="453"/>
        <w:jc w:val="both"/>
      </w:pPr>
      <w:r>
        <w:rPr/>
        <w:br w:type="column"/>
      </w:r>
      <w:r>
        <w:rPr>
          <w:color w:val="231F20"/>
          <w:spacing w:val="-4"/>
        </w:rPr>
        <w:t>On</w:t>
      </w:r>
      <w:r>
        <w:rPr>
          <w:color w:val="231F20"/>
          <w:spacing w:val="-10"/>
        </w:rPr>
        <w:t> </w:t>
      </w:r>
      <w:r>
        <w:rPr>
          <w:color w:val="231F20"/>
          <w:spacing w:val="-4"/>
        </w:rPr>
        <w:t>entering</w:t>
      </w:r>
      <w:r>
        <w:rPr>
          <w:color w:val="231F20"/>
          <w:spacing w:val="-10"/>
        </w:rPr>
        <w:t> </w:t>
      </w:r>
      <w:r>
        <w:rPr>
          <w:color w:val="231F20"/>
          <w:spacing w:val="-4"/>
        </w:rPr>
        <w:t>into</w:t>
      </w:r>
      <w:r>
        <w:rPr>
          <w:color w:val="231F20"/>
          <w:spacing w:val="-10"/>
        </w:rPr>
        <w:t> </w:t>
      </w:r>
      <w:r>
        <w:rPr>
          <w:color w:val="231F20"/>
          <w:spacing w:val="-4"/>
        </w:rPr>
        <w:t>an</w:t>
      </w:r>
      <w:r>
        <w:rPr>
          <w:color w:val="231F20"/>
          <w:spacing w:val="-10"/>
        </w:rPr>
        <w:t> </w:t>
      </w:r>
      <w:r>
        <w:rPr>
          <w:color w:val="231F20"/>
          <w:spacing w:val="-4"/>
        </w:rPr>
        <w:t>agreement</w:t>
      </w:r>
      <w:r>
        <w:rPr>
          <w:color w:val="231F20"/>
          <w:spacing w:val="-10"/>
        </w:rPr>
        <w:t> </w:t>
      </w:r>
      <w:r>
        <w:rPr>
          <w:color w:val="231F20"/>
          <w:spacing w:val="-4"/>
        </w:rPr>
        <w:t>to</w:t>
      </w:r>
      <w:r>
        <w:rPr>
          <w:color w:val="231F20"/>
          <w:spacing w:val="-10"/>
        </w:rPr>
        <w:t> </w:t>
      </w:r>
      <w:r>
        <w:rPr>
          <w:color w:val="231F20"/>
          <w:spacing w:val="-4"/>
        </w:rPr>
        <w:t>sell</w:t>
      </w:r>
      <w:r>
        <w:rPr>
          <w:color w:val="231F20"/>
          <w:spacing w:val="-10"/>
        </w:rPr>
        <w:t> </w:t>
      </w:r>
      <w:r>
        <w:rPr>
          <w:color w:val="231F20"/>
          <w:spacing w:val="-4"/>
        </w:rPr>
        <w:t>their</w:t>
      </w:r>
      <w:r>
        <w:rPr>
          <w:color w:val="231F20"/>
          <w:spacing w:val="-10"/>
        </w:rPr>
        <w:t> </w:t>
      </w:r>
      <w:r>
        <w:rPr>
          <w:color w:val="231F20"/>
          <w:spacing w:val="-4"/>
        </w:rPr>
        <w:t>principal </w:t>
      </w:r>
      <w:r>
        <w:rPr>
          <w:color w:val="231F20"/>
        </w:rPr>
        <w:t>residence-in-foreclosure, the seller has the right to cancel the agreement within five business days. Also, the purchase agreement for an EP transaction is specifically formatted and includes provisions mandated by EP codes.</w:t>
      </w:r>
    </w:p>
    <w:p>
      <w:pPr>
        <w:pStyle w:val="BodyText"/>
        <w:ind w:left="319" w:right="457"/>
        <w:jc w:val="both"/>
      </w:pPr>
      <w:r>
        <w:rPr>
          <w:color w:val="231F20"/>
        </w:rPr>
        <w:t>Further, after escrow closes, the EP investor’s title is subject to the seller-in-foreclosure’s two- year right to rescind the sale.</w:t>
      </w:r>
    </w:p>
    <w:p>
      <w:pPr>
        <w:pStyle w:val="BodyText"/>
        <w:ind w:left="319" w:right="457"/>
        <w:jc w:val="both"/>
      </w:pPr>
      <w:r>
        <w:rPr>
          <w:color w:val="231F20"/>
        </w:rPr>
        <w:t>The EP codes distinguish </w:t>
      </w:r>
      <w:r>
        <w:rPr>
          <w:i/>
          <w:color w:val="231F20"/>
        </w:rPr>
        <w:t>principal residence </w:t>
      </w:r>
      <w:r>
        <w:rPr>
          <w:color w:val="231F20"/>
        </w:rPr>
        <w:t>from</w:t>
      </w:r>
      <w:r>
        <w:rPr>
          <w:color w:val="231F20"/>
          <w:spacing w:val="-9"/>
        </w:rPr>
        <w:t> </w:t>
      </w:r>
      <w:r>
        <w:rPr>
          <w:i/>
          <w:color w:val="231F20"/>
        </w:rPr>
        <w:t>personal</w:t>
      </w:r>
      <w:r>
        <w:rPr>
          <w:i/>
          <w:color w:val="231F20"/>
          <w:spacing w:val="-9"/>
        </w:rPr>
        <w:t> </w:t>
      </w:r>
      <w:r>
        <w:rPr>
          <w:i/>
          <w:color w:val="231F20"/>
        </w:rPr>
        <w:t>use</w:t>
      </w:r>
      <w:r>
        <w:rPr>
          <w:i/>
          <w:color w:val="231F20"/>
          <w:spacing w:val="-9"/>
        </w:rPr>
        <w:t> </w:t>
      </w:r>
      <w:r>
        <w:rPr>
          <w:color w:val="231F20"/>
        </w:rPr>
        <w:t>of</w:t>
      </w:r>
      <w:r>
        <w:rPr>
          <w:color w:val="231F20"/>
          <w:spacing w:val="-9"/>
        </w:rPr>
        <w:t> </w:t>
      </w:r>
      <w:r>
        <w:rPr>
          <w:color w:val="231F20"/>
        </w:rPr>
        <w:t>a</w:t>
      </w:r>
      <w:r>
        <w:rPr>
          <w:color w:val="231F20"/>
          <w:spacing w:val="-9"/>
        </w:rPr>
        <w:t> </w:t>
      </w:r>
      <w:r>
        <w:rPr>
          <w:color w:val="231F20"/>
        </w:rPr>
        <w:t>one-to-four</w:t>
      </w:r>
      <w:r>
        <w:rPr>
          <w:color w:val="231F20"/>
          <w:spacing w:val="-9"/>
        </w:rPr>
        <w:t> </w:t>
      </w:r>
      <w:r>
        <w:rPr>
          <w:color w:val="231F20"/>
        </w:rPr>
        <w:t>unit</w:t>
      </w:r>
      <w:r>
        <w:rPr>
          <w:color w:val="231F20"/>
          <w:spacing w:val="-9"/>
        </w:rPr>
        <w:t> </w:t>
      </w:r>
      <w:r>
        <w:rPr>
          <w:color w:val="231F20"/>
        </w:rPr>
        <w:t>residential </w:t>
      </w:r>
      <w:r>
        <w:rPr>
          <w:color w:val="231F20"/>
          <w:spacing w:val="-2"/>
        </w:rPr>
        <w:t>property.</w:t>
      </w:r>
      <w:r>
        <w:rPr>
          <w:color w:val="231F20"/>
          <w:spacing w:val="-15"/>
        </w:rPr>
        <w:t> </w:t>
      </w:r>
      <w:r>
        <w:rPr>
          <w:color w:val="231F20"/>
          <w:spacing w:val="-2"/>
        </w:rPr>
        <w:t>Only</w:t>
      </w:r>
      <w:r>
        <w:rPr>
          <w:color w:val="231F20"/>
          <w:spacing w:val="-15"/>
        </w:rPr>
        <w:t> </w:t>
      </w:r>
      <w:r>
        <w:rPr>
          <w:color w:val="231F20"/>
          <w:spacing w:val="-2"/>
        </w:rPr>
        <w:t>a</w:t>
      </w:r>
      <w:r>
        <w:rPr>
          <w:color w:val="231F20"/>
          <w:spacing w:val="-14"/>
        </w:rPr>
        <w:t> </w:t>
      </w:r>
      <w:r>
        <w:rPr>
          <w:color w:val="231F20"/>
          <w:spacing w:val="-2"/>
        </w:rPr>
        <w:t>seller’s</w:t>
      </w:r>
      <w:r>
        <w:rPr>
          <w:color w:val="231F20"/>
          <w:spacing w:val="-15"/>
        </w:rPr>
        <w:t> </w:t>
      </w:r>
      <w:r>
        <w:rPr>
          <w:color w:val="231F20"/>
          <w:spacing w:val="-2"/>
        </w:rPr>
        <w:t>principal</w:t>
      </w:r>
      <w:r>
        <w:rPr>
          <w:color w:val="231F20"/>
          <w:spacing w:val="-15"/>
        </w:rPr>
        <w:t> </w:t>
      </w:r>
      <w:r>
        <w:rPr>
          <w:color w:val="231F20"/>
          <w:spacing w:val="-2"/>
        </w:rPr>
        <w:t>residence</w:t>
      </w:r>
      <w:r>
        <w:rPr>
          <w:color w:val="231F20"/>
          <w:spacing w:val="-15"/>
        </w:rPr>
        <w:t> </w:t>
      </w:r>
      <w:r>
        <w:rPr>
          <w:color w:val="231F20"/>
          <w:spacing w:val="-2"/>
        </w:rPr>
        <w:t>comes </w:t>
      </w:r>
      <w:r>
        <w:rPr>
          <w:color w:val="231F20"/>
        </w:rPr>
        <w:t>within the shield of EP codes. However, buyers avoid application of the EP code by occupying the property for personal use or as their principal </w:t>
      </w:r>
      <w:r>
        <w:rPr>
          <w:color w:val="231F20"/>
          <w:spacing w:val="-2"/>
        </w:rPr>
        <w:t>residence.</w:t>
      </w:r>
    </w:p>
    <w:p>
      <w:pPr>
        <w:pStyle w:val="BodyText"/>
        <w:spacing w:before="181"/>
        <w:ind w:left="319" w:right="457"/>
        <w:jc w:val="both"/>
      </w:pPr>
      <w:r>
        <w:rPr>
          <w:color w:val="231F20"/>
        </w:rPr>
        <w:t>All other uses by the person who acquires title to the</w:t>
      </w:r>
      <w:r>
        <w:rPr>
          <w:color w:val="231F20"/>
          <w:spacing w:val="-11"/>
        </w:rPr>
        <w:t> </w:t>
      </w:r>
      <w:r>
        <w:rPr>
          <w:color w:val="231F20"/>
        </w:rPr>
        <w:t>property</w:t>
      </w:r>
      <w:r>
        <w:rPr>
          <w:color w:val="231F20"/>
          <w:spacing w:val="-11"/>
        </w:rPr>
        <w:t> </w:t>
      </w:r>
      <w:r>
        <w:rPr>
          <w:color w:val="231F20"/>
        </w:rPr>
        <w:t>are</w:t>
      </w:r>
      <w:r>
        <w:rPr>
          <w:color w:val="231F20"/>
          <w:spacing w:val="-11"/>
        </w:rPr>
        <w:t> </w:t>
      </w:r>
      <w:r>
        <w:rPr>
          <w:color w:val="231F20"/>
        </w:rPr>
        <w:t>considered</w:t>
      </w:r>
      <w:r>
        <w:rPr>
          <w:color w:val="231F20"/>
          <w:spacing w:val="-11"/>
        </w:rPr>
        <w:t> </w:t>
      </w:r>
      <w:r>
        <w:rPr>
          <w:color w:val="231F20"/>
        </w:rPr>
        <w:t>dealer,</w:t>
      </w:r>
      <w:r>
        <w:rPr>
          <w:color w:val="231F20"/>
          <w:spacing w:val="-11"/>
        </w:rPr>
        <w:t> </w:t>
      </w:r>
      <w:r>
        <w:rPr>
          <w:color w:val="231F20"/>
        </w:rPr>
        <w:t>investment</w:t>
      </w:r>
      <w:r>
        <w:rPr>
          <w:color w:val="231F20"/>
          <w:spacing w:val="-11"/>
        </w:rPr>
        <w:t> </w:t>
      </w:r>
      <w:r>
        <w:rPr>
          <w:color w:val="231F20"/>
        </w:rPr>
        <w:t>or security purposes.</w:t>
      </w:r>
    </w:p>
    <w:p>
      <w:pPr>
        <w:spacing w:after="0"/>
        <w:jc w:val="both"/>
        <w:sectPr>
          <w:type w:val="continuous"/>
          <w:pgSz w:w="12240" w:h="15840"/>
          <w:pgMar w:top="380" w:bottom="0" w:left="260" w:right="260"/>
          <w:cols w:num="2" w:equalWidth="0">
            <w:col w:w="5682" w:space="40"/>
            <w:col w:w="5998"/>
          </w:cols>
        </w:sectPr>
      </w:pPr>
    </w:p>
    <w:p>
      <w:pPr>
        <w:pStyle w:val="BodyText"/>
        <w:spacing w:before="0"/>
        <w:rPr>
          <w:sz w:val="20"/>
        </w:rPr>
      </w:pPr>
    </w:p>
    <w:p>
      <w:pPr>
        <w:pStyle w:val="BodyText"/>
        <w:spacing w:before="0"/>
        <w:rPr>
          <w:sz w:val="20"/>
        </w:rPr>
      </w:pPr>
    </w:p>
    <w:p>
      <w:pPr>
        <w:pStyle w:val="BodyText"/>
        <w:spacing w:before="116"/>
        <w:rPr>
          <w:sz w:val="20"/>
        </w:rPr>
      </w:pPr>
    </w:p>
    <w:p>
      <w:pPr>
        <w:spacing w:line="249" w:lineRule="auto" w:before="0"/>
        <w:ind w:left="1136" w:right="870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spacing w:before="122"/>
        <w:ind w:left="1138" w:right="0" w:firstLine="0"/>
        <w:jc w:val="left"/>
        <w:rPr>
          <w:sz w:val="20"/>
        </w:rPr>
      </w:pPr>
      <w:r>
        <w:rPr/>
        <w:drawing>
          <wp:anchor distT="0" distB="0" distL="0" distR="0" allowOverlap="1" layoutInCell="1" locked="0" behindDoc="0" simplePos="0" relativeHeight="15729664">
            <wp:simplePos x="0" y="0"/>
            <wp:positionH relativeFrom="page">
              <wp:posOffset>5689014</wp:posOffset>
            </wp:positionH>
            <wp:positionV relativeFrom="paragraph">
              <wp:posOffset>98004</wp:posOffset>
            </wp:positionV>
            <wp:extent cx="600807" cy="69290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00807" cy="692902"/>
                    </a:xfrm>
                    <a:prstGeom prst="rect">
                      <a:avLst/>
                    </a:prstGeom>
                  </pic:spPr>
                </pic:pic>
              </a:graphicData>
            </a:graphic>
          </wp:anchor>
        </w:drawing>
      </w:r>
      <w:r>
        <w:rPr>
          <w:sz w:val="20"/>
        </w:rPr>
        <w:t>DRE</w:t>
      </w:r>
      <w:r>
        <w:rPr>
          <w:spacing w:val="-4"/>
          <w:sz w:val="20"/>
        </w:rPr>
        <w:t> </w:t>
      </w:r>
      <w:r>
        <w:rPr>
          <w:sz w:val="20"/>
        </w:rPr>
        <w:t>LIC#</w:t>
      </w:r>
      <w:r>
        <w:rPr>
          <w:spacing w:val="-1"/>
          <w:sz w:val="20"/>
        </w:rPr>
        <w:t> </w:t>
      </w:r>
      <w:r>
        <w:rPr>
          <w:spacing w:val="-2"/>
          <w:sz w:val="20"/>
        </w:rPr>
        <w:t>01474985</w:t>
      </w:r>
    </w:p>
    <w:p>
      <w:pPr>
        <w:spacing w:before="10"/>
        <w:ind w:left="1138" w:right="0" w:firstLine="0"/>
        <w:jc w:val="left"/>
        <w:rPr>
          <w:sz w:val="20"/>
        </w:rPr>
      </w:pPr>
      <w:r>
        <w:rPr>
          <w:spacing w:val="-2"/>
          <w:sz w:val="20"/>
        </w:rPr>
        <w:t>925-395-</w:t>
      </w:r>
      <w:r>
        <w:rPr>
          <w:spacing w:val="-4"/>
          <w:sz w:val="20"/>
        </w:rPr>
        <w:t>0175</w:t>
      </w:r>
    </w:p>
    <w:p>
      <w:pPr>
        <w:spacing w:line="249" w:lineRule="auto" w:before="10"/>
        <w:ind w:left="1138" w:right="5720" w:firstLine="0"/>
        <w:jc w:val="left"/>
        <w:rPr>
          <w:sz w:val="20"/>
        </w:rPr>
      </w:pPr>
      <w:hyperlink r:id="rId7">
        <w:r>
          <w:rPr>
            <w:spacing w:val="-2"/>
            <w:sz w:val="20"/>
          </w:rPr>
          <w:t>christy@christyscarealty.com</w:t>
        </w:r>
      </w:hyperlink>
      <w:r>
        <w:rPr>
          <w:spacing w:val="-2"/>
          <w:sz w:val="20"/>
        </w:rPr>
        <w:t> christyscaliforniarealty.com</w:t>
      </w:r>
    </w:p>
    <w:p>
      <w:pPr>
        <w:pStyle w:val="BodyText"/>
        <w:spacing w:before="0"/>
        <w:rPr>
          <w:sz w:val="20"/>
        </w:rPr>
      </w:pPr>
    </w:p>
    <w:p>
      <w:pPr>
        <w:pStyle w:val="BodyText"/>
        <w:spacing w:before="0"/>
        <w:rPr>
          <w:sz w:val="20"/>
        </w:rPr>
      </w:pPr>
    </w:p>
    <w:p>
      <w:pPr>
        <w:pStyle w:val="BodyText"/>
        <w:spacing w:before="3"/>
        <w:rPr>
          <w:sz w:val="20"/>
        </w:rPr>
      </w:pPr>
      <w:r>
        <w:rPr/>
        <mc:AlternateContent>
          <mc:Choice Requires="wps">
            <w:drawing>
              <wp:anchor distT="0" distB="0" distL="0" distR="0" allowOverlap="1" layoutInCell="1" locked="0" behindDoc="1" simplePos="0" relativeHeight="487588352">
                <wp:simplePos x="0" y="0"/>
                <wp:positionH relativeFrom="page">
                  <wp:posOffset>228600</wp:posOffset>
                </wp:positionH>
                <wp:positionV relativeFrom="paragraph">
                  <wp:posOffset>163182</wp:posOffset>
                </wp:positionV>
                <wp:extent cx="7315200" cy="2286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a:graphicData>
                </a:graphic>
              </wp:anchor>
            </w:drawing>
          </mc:Choice>
          <mc:Fallback>
            <w:pict>
              <v:rect style="position:absolute;margin-left:18pt;margin-top:12.849024pt;width:576pt;height:18pt;mso-position-horizontal-relative:page;mso-position-vertical-relative:paragraph;z-index:-15728128;mso-wrap-distance-left:0;mso-wrap-distance-right:0" id="docshape5" filled="true" fillcolor="#d2232a" stroked="false">
                <v:fill type="solid"/>
                <w10:wrap type="topAndBottom"/>
              </v:rect>
            </w:pict>
          </mc:Fallback>
        </mc:AlternateContent>
      </w:r>
    </w:p>
    <w:sectPr>
      <w:type w:val="continuous"/>
      <w:pgSz w:w="12240" w:h="15840"/>
      <w:pgMar w:top="38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00" w:hanging="270"/>
      </w:pPr>
      <w:rPr>
        <w:rFonts w:hint="default" w:ascii="Arial" w:hAnsi="Arial" w:eastAsia="Arial" w:cs="Arial"/>
        <w:b w:val="0"/>
        <w:bCs w:val="0"/>
        <w:i w:val="0"/>
        <w:iCs w:val="0"/>
        <w:color w:val="231F20"/>
        <w:spacing w:val="0"/>
        <w:w w:val="142"/>
        <w:sz w:val="24"/>
        <w:szCs w:val="24"/>
        <w:lang w:val="en-US" w:eastAsia="en-US" w:bidi="ar-SA"/>
      </w:rPr>
    </w:lvl>
    <w:lvl w:ilvl="1">
      <w:start w:val="0"/>
      <w:numFmt w:val="bullet"/>
      <w:lvlText w:val="•"/>
      <w:lvlJc w:val="left"/>
      <w:pPr>
        <w:ind w:left="1468" w:hanging="270"/>
      </w:pPr>
      <w:rPr>
        <w:rFonts w:hint="default"/>
        <w:lang w:val="en-US" w:eastAsia="en-US" w:bidi="ar-SA"/>
      </w:rPr>
    </w:lvl>
    <w:lvl w:ilvl="2">
      <w:start w:val="0"/>
      <w:numFmt w:val="bullet"/>
      <w:lvlText w:val="•"/>
      <w:lvlJc w:val="left"/>
      <w:pPr>
        <w:ind w:left="1936" w:hanging="270"/>
      </w:pPr>
      <w:rPr>
        <w:rFonts w:hint="default"/>
        <w:lang w:val="en-US" w:eastAsia="en-US" w:bidi="ar-SA"/>
      </w:rPr>
    </w:lvl>
    <w:lvl w:ilvl="3">
      <w:start w:val="0"/>
      <w:numFmt w:val="bullet"/>
      <w:lvlText w:val="•"/>
      <w:lvlJc w:val="left"/>
      <w:pPr>
        <w:ind w:left="2404" w:hanging="270"/>
      </w:pPr>
      <w:rPr>
        <w:rFonts w:hint="default"/>
        <w:lang w:val="en-US" w:eastAsia="en-US" w:bidi="ar-SA"/>
      </w:rPr>
    </w:lvl>
    <w:lvl w:ilvl="4">
      <w:start w:val="0"/>
      <w:numFmt w:val="bullet"/>
      <w:lvlText w:val="•"/>
      <w:lvlJc w:val="left"/>
      <w:pPr>
        <w:ind w:left="2872" w:hanging="270"/>
      </w:pPr>
      <w:rPr>
        <w:rFonts w:hint="default"/>
        <w:lang w:val="en-US" w:eastAsia="en-US" w:bidi="ar-SA"/>
      </w:rPr>
    </w:lvl>
    <w:lvl w:ilvl="5">
      <w:start w:val="0"/>
      <w:numFmt w:val="bullet"/>
      <w:lvlText w:val="•"/>
      <w:lvlJc w:val="left"/>
      <w:pPr>
        <w:ind w:left="3340" w:hanging="270"/>
      </w:pPr>
      <w:rPr>
        <w:rFonts w:hint="default"/>
        <w:lang w:val="en-US" w:eastAsia="en-US" w:bidi="ar-SA"/>
      </w:rPr>
    </w:lvl>
    <w:lvl w:ilvl="6">
      <w:start w:val="0"/>
      <w:numFmt w:val="bullet"/>
      <w:lvlText w:val="•"/>
      <w:lvlJc w:val="left"/>
      <w:pPr>
        <w:ind w:left="3808" w:hanging="270"/>
      </w:pPr>
      <w:rPr>
        <w:rFonts w:hint="default"/>
        <w:lang w:val="en-US" w:eastAsia="en-US" w:bidi="ar-SA"/>
      </w:rPr>
    </w:lvl>
    <w:lvl w:ilvl="7">
      <w:start w:val="0"/>
      <w:numFmt w:val="bullet"/>
      <w:lvlText w:val="•"/>
      <w:lvlJc w:val="left"/>
      <w:pPr>
        <w:ind w:left="4276" w:hanging="270"/>
      </w:pPr>
      <w:rPr>
        <w:rFonts w:hint="default"/>
        <w:lang w:val="en-US" w:eastAsia="en-US" w:bidi="ar-SA"/>
      </w:rPr>
    </w:lvl>
    <w:lvl w:ilvl="8">
      <w:start w:val="0"/>
      <w:numFmt w:val="bullet"/>
      <w:lvlText w:val="•"/>
      <w:lvlJc w:val="left"/>
      <w:pPr>
        <w:ind w:left="4744"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80"/>
    </w:pPr>
    <w:rPr>
      <w:rFonts w:ascii="Arial" w:hAnsi="Arial" w:eastAsia="Arial" w:cs="Arial"/>
      <w:sz w:val="24"/>
      <w:szCs w:val="24"/>
      <w:lang w:val="en-US" w:eastAsia="en-US" w:bidi="ar-SA"/>
    </w:rPr>
  </w:style>
  <w:style w:styleId="Title" w:type="paragraph">
    <w:name w:val="Title"/>
    <w:basedOn w:val="Normal"/>
    <w:uiPriority w:val="1"/>
    <w:qFormat/>
    <w:pPr>
      <w:spacing w:line="582" w:lineRule="exact"/>
    </w:pPr>
    <w:rPr>
      <w:rFonts w:ascii="Arial" w:hAnsi="Arial" w:eastAsia="Arial" w:cs="Arial"/>
      <w:b/>
      <w:bCs/>
      <w:sz w:val="52"/>
      <w:szCs w:val="52"/>
      <w:lang w:val="en-US" w:eastAsia="en-US" w:bidi="ar-SA"/>
    </w:rPr>
  </w:style>
  <w:style w:styleId="ListParagraph" w:type="paragraph">
    <w:name w:val="List Paragraph"/>
    <w:basedOn w:val="Normal"/>
    <w:uiPriority w:val="1"/>
    <w:qFormat/>
    <w:pPr>
      <w:spacing w:before="180"/>
      <w:ind w:left="999" w:hanging="2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2024-09-08T23:25:54Z</dcterms:created>
  <dcterms:modified xsi:type="dcterms:W3CDTF">2024-09-08T23:25:54Z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2024-09-08T00:00:00Z</vt:filetime>
  </property>
  <property fmtid="{D5CDD505-2E9C-101B-9397-08002B2CF9AE}" pid="5" name="Producer">
    <vt:lpwstr>Adobe LiveCycle Designer 11.0</vt:lpwstr>
  </property>
</Properties>
</file>