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58000" cy="2615565"/>
                <wp:effectExtent l="0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8000" cy="2615565"/>
                          <a:chExt cx="6858000" cy="26155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615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773935"/>
                            <a:ext cx="6858000" cy="603885"/>
                          </a:xfrm>
                          <a:prstGeom prst="rect">
                            <a:avLst/>
                          </a:prstGeom>
                          <a:solidFill>
                            <a:srgbClr val="0092C8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19"/>
                                <w:ind w:left="0" w:right="0" w:firstLine="0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46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1"/>
                                  <w:w w:val="15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46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3"/>
                                  <w:w w:val="15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46"/>
                                </w:rPr>
                                <w:t>an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3"/>
                                  <w:w w:val="15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46"/>
                                </w:rPr>
                                <w:t>FHA-insured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4"/>
                                  <w:w w:val="15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sz w:val="46"/>
                                </w:rPr>
                                <w:t>mortgage?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205.95pt;mso-position-horizontal-relative:char;mso-position-vertical-relative:line" id="docshapegroup1" coordorigin="0,0" coordsize="10800,4119">
                <v:shape style="position:absolute;left:0;top:0;width:10800;height:4119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793;width:10800;height:951" type="#_x0000_t202" id="docshape3" filled="true" fillcolor="#0092c8" stroked="false">
                  <v:textbox inset="0,0,0,0">
                    <w:txbxContent>
                      <w:p>
                        <w:pPr>
                          <w:spacing w:before="219"/>
                          <w:ind w:left="0" w:right="0" w:firstLine="0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46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1"/>
                            <w:w w:val="15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z w:val="46"/>
                          </w:rPr>
                          <w:t>is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3"/>
                            <w:w w:val="15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z w:val="46"/>
                          </w:rPr>
                          <w:t>an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3"/>
                            <w:w w:val="15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z w:val="46"/>
                          </w:rPr>
                          <w:t>FHA-insured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4"/>
                            <w:w w:val="15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46"/>
                          </w:rPr>
                          <w:t>mortgage?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67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720" w:bottom="280" w:left="600" w:right="620"/>
        </w:sectPr>
      </w:pPr>
    </w:p>
    <w:p>
      <w:pPr>
        <w:pStyle w:val="BodyText"/>
        <w:tabs>
          <w:tab w:pos="2711" w:val="left" w:leader="none"/>
          <w:tab w:pos="4019" w:val="left" w:leader="none"/>
        </w:tabs>
        <w:spacing w:before="93"/>
        <w:ind w:left="119" w:right="38" w:firstLine="76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21377</wp:posOffset>
                </wp:positionV>
                <wp:extent cx="384810" cy="407034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8481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4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7"/>
                              </w:rPr>
                            </w:pPr>
                            <w:r>
                              <w:rPr>
                                <w:b/>
                                <w:color w:val="0092C8"/>
                                <w:spacing w:val="-5"/>
                                <w:sz w:val="57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683276pt;width:30.3pt;height:32.0500pt;mso-position-horizontal-relative:page;mso-position-vertical-relative:paragraph;z-index:15729664" type="#_x0000_t202" id="docshape4" filled="false" stroked="false">
                <v:textbox inset="0,0,0,0">
                  <w:txbxContent>
                    <w:p>
                      <w:pPr>
                        <w:spacing w:line="640" w:lineRule="exact" w:before="0"/>
                        <w:ind w:left="0" w:right="0" w:firstLine="0"/>
                        <w:jc w:val="left"/>
                        <w:rPr>
                          <w:b/>
                          <w:sz w:val="57"/>
                        </w:rPr>
                      </w:pPr>
                      <w:r>
                        <w:rPr>
                          <w:b/>
                          <w:color w:val="0092C8"/>
                          <w:spacing w:val="-5"/>
                          <w:sz w:val="57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Homebuyers with little cash saved for a down payment can buy a home by qualifying for a purchase-assist</w:t>
      </w:r>
      <w:r>
        <w:rPr>
          <w:color w:val="231F20"/>
          <w:spacing w:val="40"/>
        </w:rPr>
        <w:t> </w:t>
      </w:r>
      <w:r>
        <w:rPr>
          <w:color w:val="231F20"/>
        </w:rPr>
        <w:t>mortgage</w:t>
      </w:r>
      <w:r>
        <w:rPr>
          <w:color w:val="231F20"/>
          <w:spacing w:val="40"/>
        </w:rPr>
        <w:t> </w:t>
      </w:r>
      <w:r>
        <w:rPr>
          <w:color w:val="231F20"/>
        </w:rPr>
        <w:t>insured</w:t>
      </w:r>
      <w:r>
        <w:rPr>
          <w:color w:val="231F20"/>
          <w:spacing w:val="40"/>
        </w:rPr>
        <w:t> </w:t>
      </w:r>
      <w:r>
        <w:rPr>
          <w:color w:val="231F20"/>
        </w:rPr>
        <w:t>by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Federal Housing</w:t>
      </w:r>
      <w:r>
        <w:rPr>
          <w:color w:val="231F20"/>
          <w:spacing w:val="80"/>
        </w:rPr>
        <w:t> </w:t>
      </w:r>
      <w:r>
        <w:rPr>
          <w:color w:val="231F20"/>
        </w:rPr>
        <w:t>Administration</w:t>
        <w:tab/>
        <w:t>(FHA).</w:t>
      </w:r>
      <w:r>
        <w:rPr>
          <w:color w:val="231F20"/>
          <w:spacing w:val="80"/>
        </w:rPr>
        <w:t> </w:t>
      </w:r>
      <w:r>
        <w:rPr>
          <w:color w:val="231F20"/>
        </w:rPr>
        <w:t>An</w:t>
        <w:tab/>
      </w:r>
      <w:r>
        <w:rPr>
          <w:b/>
          <w:color w:val="231F20"/>
          <w:spacing w:val="-2"/>
        </w:rPr>
        <w:t>FHA-insured </w:t>
      </w:r>
      <w:r>
        <w:rPr>
          <w:b/>
          <w:color w:val="231F20"/>
        </w:rPr>
        <w:t>mortgage</w:t>
      </w:r>
      <w:r>
        <w:rPr>
          <w:b/>
          <w:color w:val="231F20"/>
          <w:spacing w:val="6"/>
        </w:rPr>
        <w:t> </w:t>
      </w:r>
      <w:r>
        <w:rPr>
          <w:color w:val="231F20"/>
        </w:rPr>
        <w:t>is</w:t>
      </w:r>
      <w:r>
        <w:rPr>
          <w:color w:val="231F20"/>
          <w:spacing w:val="6"/>
        </w:rPr>
        <w:t> </w:t>
      </w:r>
      <w:r>
        <w:rPr>
          <w:color w:val="231F20"/>
        </w:rPr>
        <w:t>characterized</w:t>
      </w:r>
      <w:r>
        <w:rPr>
          <w:color w:val="231F20"/>
          <w:spacing w:val="6"/>
        </w:rPr>
        <w:t> </w:t>
      </w:r>
      <w:r>
        <w:rPr>
          <w:color w:val="231F20"/>
        </w:rPr>
        <w:t>by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small</w:t>
      </w:r>
      <w:r>
        <w:rPr>
          <w:color w:val="231F20"/>
          <w:spacing w:val="6"/>
        </w:rPr>
        <w:t> </w:t>
      </w:r>
      <w:r>
        <w:rPr>
          <w:color w:val="231F20"/>
        </w:rPr>
        <w:t>down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payment</w:t>
      </w:r>
    </w:p>
    <w:p>
      <w:pPr>
        <w:pStyle w:val="BodyText"/>
        <w:ind w:left="119"/>
        <w:jc w:val="both"/>
      </w:pPr>
      <w:r>
        <w:rPr>
          <w:color w:val="231F20"/>
        </w:rPr>
        <w:t>requirement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high</w:t>
      </w:r>
      <w:r>
        <w:rPr>
          <w:color w:val="231F20"/>
          <w:spacing w:val="-3"/>
        </w:rPr>
        <w:t> </w:t>
      </w:r>
      <w:r>
        <w:rPr>
          <w:color w:val="231F20"/>
        </w:rPr>
        <w:t>loan-to-value</w:t>
      </w:r>
      <w:r>
        <w:rPr>
          <w:color w:val="231F20"/>
          <w:spacing w:val="-4"/>
        </w:rPr>
        <w:t> </w:t>
      </w:r>
      <w:r>
        <w:rPr>
          <w:color w:val="231F20"/>
        </w:rPr>
        <w:t>ratio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(LTV).</w:t>
      </w:r>
    </w:p>
    <w:p>
      <w:pPr>
        <w:pStyle w:val="BodyText"/>
        <w:spacing w:before="180"/>
        <w:ind w:left="119" w:right="38"/>
        <w:jc w:val="both"/>
      </w:pPr>
      <w:r>
        <w:rPr>
          <w:color w:val="231F20"/>
        </w:rPr>
        <w:t>To qualify for an FHA-insured mortgage, you need only a minimum credit score, meet debt-to-income (DTI)</w:t>
      </w:r>
      <w:r>
        <w:rPr>
          <w:color w:val="231F20"/>
          <w:spacing w:val="-2"/>
        </w:rPr>
        <w:t> </w:t>
      </w:r>
      <w:r>
        <w:rPr>
          <w:color w:val="231F20"/>
        </w:rPr>
        <w:t>ratios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payments,</w:t>
      </w:r>
      <w:r>
        <w:rPr>
          <w:color w:val="231F20"/>
          <w:spacing w:val="-2"/>
        </w:rPr>
        <w:t> </w:t>
      </w:r>
      <w:r>
        <w:rPr>
          <w:color w:val="231F20"/>
        </w:rPr>
        <w:t>have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down</w:t>
      </w:r>
      <w:r>
        <w:rPr>
          <w:color w:val="231F20"/>
          <w:spacing w:val="-2"/>
        </w:rPr>
        <w:t> </w:t>
      </w:r>
      <w:r>
        <w:rPr>
          <w:color w:val="231F20"/>
        </w:rPr>
        <w:t>payment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at least 3.5% of the purchase price (5% on mortgages greater than $625,000) and occupy the property as your primary residence. The interest rate and costs on the mortgage are negotiated between you and the </w:t>
      </w:r>
      <w:r>
        <w:rPr>
          <w:color w:val="231F20"/>
          <w:spacing w:val="-2"/>
        </w:rPr>
        <w:t>lender.</w:t>
      </w:r>
    </w:p>
    <w:p>
      <w:pPr>
        <w:pStyle w:val="BodyText"/>
        <w:spacing w:before="180"/>
        <w:ind w:left="119" w:right="38"/>
        <w:jc w:val="both"/>
      </w:pPr>
      <w:r>
        <w:rPr>
          <w:color w:val="231F20"/>
        </w:rPr>
        <w:t>An upfront FHA mortgage insurance premium (MIP) of 1.75% of the mortgage amount is advanced by the lender and added to your mortgage balance.</w:t>
      </w:r>
    </w:p>
    <w:p>
      <w:pPr>
        <w:pStyle w:val="BodyText"/>
        <w:spacing w:before="180"/>
        <w:ind w:left="119" w:right="38"/>
        <w:jc w:val="both"/>
      </w:pP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FHA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does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lend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money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directly.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Rather,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the </w:t>
      </w:r>
      <w:r>
        <w:rPr>
          <w:color w:val="231F20"/>
        </w:rPr>
        <w:t>FHA</w:t>
      </w:r>
      <w:r>
        <w:rPr>
          <w:color w:val="231F20"/>
          <w:spacing w:val="-10"/>
        </w:rPr>
        <w:t> </w:t>
      </w:r>
      <w:r>
        <w:rPr>
          <w:color w:val="231F20"/>
        </w:rPr>
        <w:t>insures mortgages originated by lenders against </w:t>
      </w:r>
      <w:r>
        <w:rPr>
          <w:color w:val="231F20"/>
          <w:spacing w:val="-2"/>
        </w:rPr>
        <w:t>default.</w:t>
      </w:r>
    </w:p>
    <w:p>
      <w:pPr>
        <w:pStyle w:val="BodyText"/>
        <w:spacing w:before="93"/>
        <w:ind w:left="120"/>
        <w:jc w:val="both"/>
      </w:pPr>
      <w:r>
        <w:rPr/>
        <w:br w:type="column"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DTI</w:t>
      </w:r>
      <w:r>
        <w:rPr>
          <w:color w:val="231F20"/>
          <w:spacing w:val="-5"/>
        </w:rPr>
        <w:t> </w:t>
      </w:r>
      <w:r>
        <w:rPr>
          <w:color w:val="231F20"/>
        </w:rPr>
        <w:t>ratios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FHA-insured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mortgage: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180" w:after="0"/>
        <w:ind w:left="660" w:right="99" w:hanging="270"/>
        <w:jc w:val="left"/>
        <w:rPr>
          <w:sz w:val="22"/>
        </w:rPr>
      </w:pPr>
      <w:r>
        <w:rPr>
          <w:color w:val="231F20"/>
          <w:sz w:val="22"/>
        </w:rPr>
        <w:t>your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monthly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payment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lender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may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not exceed 31% of your gross income; and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180" w:after="0"/>
        <w:ind w:left="660" w:right="99" w:hanging="270"/>
        <w:jc w:val="left"/>
        <w:rPr>
          <w:sz w:val="22"/>
        </w:rPr>
      </w:pPr>
      <w:r>
        <w:rPr>
          <w:color w:val="231F20"/>
          <w:sz w:val="22"/>
        </w:rPr>
        <w:t>your total fixed payments on all debts may not exceed 43% of your gross income.</w:t>
      </w:r>
    </w:p>
    <w:p>
      <w:pPr>
        <w:pStyle w:val="BodyText"/>
        <w:spacing w:before="180"/>
        <w:ind w:left="119" w:right="99"/>
        <w:jc w:val="both"/>
      </w:pPr>
      <w:r>
        <w:rPr>
          <w:color w:val="231F20"/>
        </w:rPr>
        <w:t>Your monthly mortgage payments include principal, accrued interest, property taxes, hazard insurance premiums and the MIP. In effect, MIP increases the annual</w:t>
      </w:r>
      <w:r>
        <w:rPr>
          <w:color w:val="231F20"/>
          <w:spacing w:val="-15"/>
        </w:rPr>
        <w:t> </w:t>
      </w:r>
      <w:r>
        <w:rPr>
          <w:color w:val="231F20"/>
        </w:rPr>
        <w:t>cost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borrowing</w:t>
      </w:r>
      <w:r>
        <w:rPr>
          <w:color w:val="231F20"/>
          <w:spacing w:val="-15"/>
        </w:rPr>
        <w:t> </w:t>
      </w:r>
      <w:r>
        <w:rPr>
          <w:color w:val="231F20"/>
        </w:rPr>
        <w:t>as</w:t>
      </w:r>
      <w:r>
        <w:rPr>
          <w:color w:val="231F20"/>
          <w:spacing w:val="-15"/>
        </w:rPr>
        <w:t> </w:t>
      </w:r>
      <w:r>
        <w:rPr>
          <w:color w:val="231F20"/>
        </w:rPr>
        <w:t>it</w:t>
      </w:r>
      <w:r>
        <w:rPr>
          <w:color w:val="231F20"/>
          <w:spacing w:val="-15"/>
        </w:rPr>
        <w:t> </w:t>
      </w:r>
      <w:r>
        <w:rPr>
          <w:color w:val="231F20"/>
        </w:rPr>
        <w:t>is</w:t>
      </w:r>
      <w:r>
        <w:rPr>
          <w:color w:val="231F20"/>
          <w:spacing w:val="-15"/>
        </w:rPr>
        <w:t> </w:t>
      </w:r>
      <w:r>
        <w:rPr>
          <w:color w:val="231F20"/>
        </w:rPr>
        <w:t>an</w:t>
      </w:r>
      <w:r>
        <w:rPr>
          <w:color w:val="231F20"/>
          <w:spacing w:val="-15"/>
        </w:rPr>
        <w:t> </w:t>
      </w:r>
      <w:r>
        <w:rPr>
          <w:color w:val="231F20"/>
        </w:rPr>
        <w:t>annual</w:t>
      </w:r>
      <w:r>
        <w:rPr>
          <w:color w:val="231F20"/>
          <w:spacing w:val="-15"/>
        </w:rPr>
        <w:t> </w:t>
      </w:r>
      <w:r>
        <w:rPr>
          <w:color w:val="231F20"/>
        </w:rPr>
        <w:t>rate</w:t>
      </w:r>
      <w:r>
        <w:rPr>
          <w:color w:val="231F20"/>
          <w:spacing w:val="-15"/>
        </w:rPr>
        <w:t> </w:t>
      </w:r>
      <w:r>
        <w:rPr>
          <w:color w:val="231F20"/>
        </w:rPr>
        <w:t>paid</w:t>
      </w:r>
      <w:r>
        <w:rPr>
          <w:color w:val="231F20"/>
          <w:spacing w:val="-15"/>
        </w:rPr>
        <w:t> </w:t>
      </w:r>
      <w:r>
        <w:rPr>
          <w:color w:val="231F20"/>
        </w:rPr>
        <w:t>for the</w:t>
      </w:r>
      <w:r>
        <w:rPr>
          <w:color w:val="231F20"/>
          <w:spacing w:val="-16"/>
        </w:rPr>
        <w:t> </w:t>
      </w:r>
      <w:r>
        <w:rPr>
          <w:color w:val="231F20"/>
        </w:rPr>
        <w:t>life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mortgage.</w:t>
      </w:r>
      <w:r>
        <w:rPr>
          <w:color w:val="231F20"/>
          <w:spacing w:val="-15"/>
        </w:rPr>
        <w:t> </w:t>
      </w:r>
      <w:r>
        <w:rPr>
          <w:color w:val="231F20"/>
        </w:rPr>
        <w:t>Together,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MIP</w:t>
      </w:r>
      <w:r>
        <w:rPr>
          <w:color w:val="231F20"/>
          <w:spacing w:val="-16"/>
        </w:rPr>
        <w:t> </w:t>
      </w:r>
      <w:r>
        <w:rPr>
          <w:color w:val="231F20"/>
        </w:rPr>
        <w:t>and</w:t>
      </w:r>
      <w:r>
        <w:rPr>
          <w:color w:val="231F20"/>
          <w:spacing w:val="-15"/>
        </w:rPr>
        <w:t> </w:t>
      </w:r>
      <w:r>
        <w:rPr>
          <w:color w:val="231F20"/>
        </w:rPr>
        <w:t>interest are the annual cost for borrowing FHA-insured funds.</w:t>
      </w:r>
    </w:p>
    <w:p>
      <w:pPr>
        <w:pStyle w:val="BodyText"/>
        <w:spacing w:before="180"/>
        <w:ind w:left="119" w:right="98"/>
        <w:jc w:val="both"/>
      </w:pPr>
      <w:r>
        <w:rPr>
          <w:color w:val="231F20"/>
        </w:rPr>
        <w:t>Unlike conventional financing, California’s anti- deficiency laws do not apply to FHA-insured mortgages for lender claims on a buyer’s default and subsequent foreclosure. Thus, you are personally liable to the FHA for any loss the FHA suffers as a result of a foreclosure. However, the FHA </w:t>
      </w:r>
      <w:r>
        <w:rPr>
          <w:color w:val="231F20"/>
        </w:rPr>
        <w:t>rarely pursues deficiency judgements, though they have legal authority to do so.</w:t>
      </w:r>
    </w:p>
    <w:p>
      <w:pPr>
        <w:spacing w:after="0"/>
        <w:jc w:val="both"/>
        <w:sectPr>
          <w:type w:val="continuous"/>
          <w:pgSz w:w="12240" w:h="15840"/>
          <w:pgMar w:top="720" w:bottom="280" w:left="600" w:right="620"/>
          <w:cols w:num="2" w:equalWidth="0">
            <w:col w:w="5380" w:space="199"/>
            <w:col w:w="54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</w:p>
    <w:p>
      <w:pPr>
        <w:spacing w:line="249" w:lineRule="auto" w:before="0"/>
        <w:ind w:left="796" w:right="834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79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5689014</wp:posOffset>
            </wp:positionH>
            <wp:positionV relativeFrom="paragraph">
              <wp:posOffset>98071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79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798" w:right="536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sectPr>
      <w:type w:val="continuous"/>
      <w:pgSz w:w="12240" w:h="15840"/>
      <w:pgMar w:top="72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60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2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4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40" w:lineRule="exact"/>
    </w:pPr>
    <w:rPr>
      <w:rFonts w:ascii="Arial" w:hAnsi="Arial" w:eastAsia="Arial" w:cs="Arial"/>
      <w:b/>
      <w:bCs/>
      <w:sz w:val="57"/>
      <w:szCs w:val="5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0"/>
      <w:ind w:left="660" w:right="99" w:hanging="27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2024-09-08T23:06:18Z</dcterms:created>
  <dcterms:modified xsi:type="dcterms:W3CDTF">2024-09-08T23:06:18Z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