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jc w:val="lef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7315200" cy="22377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237740"/>
                          <a:chExt cx="7315200" cy="22377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237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260855"/>
                            <a:ext cx="7315200" cy="83566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02"/>
                                <w:ind w:left="663" w:right="0" w:firstLine="0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What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happens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during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8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6"/>
                                </w:rPr>
                                <w:t>foreclosure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7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process?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76.2pt;mso-position-horizontal-relative:char;mso-position-vertical-relative:line" id="docshapegroup1" coordorigin="0,0" coordsize="11520,3524">
                <v:shape style="position:absolute;left:0;top:0;width:11520;height:3524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985;width:11520;height:1316" type="#_x0000_t202" id="docshape3" filled="true" fillcolor="#d2232a" stroked="false">
                  <v:textbox inset="0,0,0,0">
                    <w:txbxContent>
                      <w:p>
                        <w:pPr>
                          <w:spacing w:before="402"/>
                          <w:ind w:left="663" w:right="0" w:firstLine="0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What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happens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during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8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6"/>
                          </w:rPr>
                          <w:t>foreclosure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7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process?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84"/>
        <w:ind w:left="0"/>
        <w:jc w:val="left"/>
        <w:rPr>
          <w:rFonts w:ascii="Times New Roman"/>
        </w:rPr>
      </w:pP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380" w:bottom="0" w:left="260" w:right="260"/>
        </w:sectPr>
      </w:pPr>
    </w:p>
    <w:p>
      <w:pPr>
        <w:pStyle w:val="BodyText"/>
        <w:spacing w:line="249" w:lineRule="auto" w:before="94"/>
        <w:ind w:left="11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457200</wp:posOffset>
                </wp:positionH>
                <wp:positionV relativeFrom="paragraph">
                  <wp:posOffset>23525</wp:posOffset>
                </wp:positionV>
                <wp:extent cx="358775" cy="3797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8775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9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5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852438pt;width:28.25pt;height:29.9pt;mso-position-horizontal-relative:page;mso-position-vertical-relative:paragraph;z-index:-15769088" type="#_x0000_t202" id="docshape4" filled="false" stroked="false">
                <v:textbox inset="0,0,0,0">
                  <w:txbxContent>
                    <w:p>
                      <w:pPr>
                        <w:spacing w:line="597" w:lineRule="exact" w:before="0"/>
                        <w:ind w:left="0" w:right="0" w:firstLine="0"/>
                        <w:jc w:val="lef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D2232A"/>
                          <w:spacing w:val="-5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When you obtain a mortgage on your home, the power-of-sale</w:t>
      </w:r>
      <w:r>
        <w:rPr>
          <w:color w:val="231F20"/>
          <w:spacing w:val="-10"/>
        </w:rPr>
        <w:t> </w:t>
      </w:r>
      <w:r>
        <w:rPr>
          <w:color w:val="231F20"/>
        </w:rPr>
        <w:t>provision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trust</w:t>
      </w:r>
      <w:r>
        <w:rPr>
          <w:color w:val="231F20"/>
          <w:spacing w:val="-9"/>
        </w:rPr>
        <w:t> </w:t>
      </w:r>
      <w:r>
        <w:rPr>
          <w:color w:val="231F20"/>
        </w:rPr>
        <w:t>deed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authorizes</w:t>
      </w:r>
    </w:p>
    <w:p>
      <w:pPr>
        <w:pStyle w:val="BodyText"/>
        <w:spacing w:line="249" w:lineRule="auto" w:before="1"/>
        <w:ind w:left="459"/>
      </w:pP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mortgage</w:t>
      </w:r>
      <w:r>
        <w:rPr>
          <w:color w:val="231F20"/>
          <w:spacing w:val="-14"/>
        </w:rPr>
        <w:t> </w:t>
      </w:r>
      <w:r>
        <w:rPr>
          <w:color w:val="231F20"/>
        </w:rPr>
        <w:t>holder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foreclose</w:t>
      </w:r>
      <w:r>
        <w:rPr>
          <w:color w:val="231F20"/>
          <w:spacing w:val="-14"/>
        </w:rPr>
        <w:t> </w:t>
      </w:r>
      <w:r>
        <w:rPr>
          <w:color w:val="231F20"/>
        </w:rPr>
        <w:t>on</w:t>
      </w:r>
      <w:r>
        <w:rPr>
          <w:color w:val="231F20"/>
          <w:spacing w:val="-14"/>
        </w:rPr>
        <w:t> </w:t>
      </w: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home</w:t>
      </w:r>
      <w:r>
        <w:rPr>
          <w:color w:val="231F20"/>
          <w:spacing w:val="-14"/>
        </w:rPr>
        <w:t> </w:t>
      </w:r>
      <w:r>
        <w:rPr>
          <w:color w:val="231F20"/>
        </w:rPr>
        <w:t>if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default on your mortgage payments and do not cure the default before the lender sells the property.</w:t>
      </w:r>
    </w:p>
    <w:p>
      <w:pPr>
        <w:pStyle w:val="BodyText"/>
        <w:spacing w:before="93"/>
        <w:ind w:left="459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foreclosure</w:t>
      </w:r>
      <w:r>
        <w:rPr>
          <w:color w:val="231F20"/>
          <w:spacing w:val="-3"/>
        </w:rPr>
        <w:t> </w:t>
      </w:r>
      <w:r>
        <w:rPr>
          <w:color w:val="231F20"/>
        </w:rPr>
        <w:t>process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three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stages: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  <w:tab w:pos="1000" w:val="left" w:leader="none"/>
        </w:tabs>
        <w:spacing w:line="249" w:lineRule="auto" w:before="100" w:after="0"/>
        <w:ind w:left="1000" w:right="0" w:hanging="271"/>
        <w:jc w:val="both"/>
        <w:rPr>
          <w:sz w:val="20"/>
        </w:rPr>
      </w:pPr>
      <w:r>
        <w:rPr>
          <w:color w:val="231F20"/>
          <w:sz w:val="20"/>
        </w:rPr>
        <w:t>a notice of default (NOD) is recorded and mailed to you within ten business days after it is recorded and to any holders of a recorded interest in your home within one month after it is recorded;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49" w:lineRule="auto" w:before="93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notice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trustee’s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sale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(NOTS)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recorded,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posted on the property and mailed to you no less than three months after the NOD is recorded; and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9" w:lineRule="auto" w:before="93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 trustee’s sale of the real estate by public auction occurs 20 days after the NOTS is recorded, followed by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execution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trustee’s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deed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distribution of sales proceeds.</w:t>
      </w:r>
    </w:p>
    <w:p>
      <w:pPr>
        <w:pStyle w:val="BodyText"/>
        <w:spacing w:line="249" w:lineRule="auto" w:before="183"/>
        <w:ind w:left="459"/>
      </w:pPr>
      <w:r>
        <w:rPr>
          <w:color w:val="231F20"/>
        </w:rPr>
        <w:t>Before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foreclosure</w:t>
      </w:r>
      <w:r>
        <w:rPr>
          <w:color w:val="231F20"/>
          <w:spacing w:val="-13"/>
        </w:rPr>
        <w:t> </w:t>
      </w:r>
      <w:r>
        <w:rPr>
          <w:color w:val="231F20"/>
        </w:rPr>
        <w:t>process</w:t>
      </w:r>
      <w:r>
        <w:rPr>
          <w:color w:val="231F20"/>
          <w:spacing w:val="-13"/>
        </w:rPr>
        <w:t> </w:t>
      </w:r>
      <w:r>
        <w:rPr>
          <w:color w:val="231F20"/>
        </w:rPr>
        <w:t>begins,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mortgage</w:t>
      </w:r>
      <w:r>
        <w:rPr>
          <w:color w:val="231F20"/>
          <w:spacing w:val="-13"/>
        </w:rPr>
        <w:t> </w:t>
      </w:r>
      <w:r>
        <w:rPr>
          <w:color w:val="231F20"/>
        </w:rPr>
        <w:t>holder will contact you to: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92" w:after="0"/>
        <w:ind w:left="998" w:right="0" w:hanging="269"/>
        <w:jc w:val="both"/>
        <w:rPr>
          <w:sz w:val="20"/>
        </w:rPr>
      </w:pPr>
      <w:r>
        <w:rPr>
          <w:color w:val="231F20"/>
          <w:sz w:val="20"/>
        </w:rPr>
        <w:t>assess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financial</w:t>
      </w:r>
      <w:r>
        <w:rPr>
          <w:color w:val="231F20"/>
          <w:spacing w:val="-2"/>
          <w:sz w:val="20"/>
        </w:rPr>
        <w:t> situation;</w:t>
      </w:r>
    </w:p>
    <w:p>
      <w:pPr>
        <w:pStyle w:val="ListParagraph"/>
        <w:numPr>
          <w:ilvl w:val="1"/>
          <w:numId w:val="1"/>
        </w:numPr>
        <w:tabs>
          <w:tab w:pos="998" w:val="left" w:leader="none"/>
        </w:tabs>
        <w:spacing w:line="240" w:lineRule="auto" w:before="100" w:after="0"/>
        <w:ind w:left="998" w:right="0" w:hanging="269"/>
        <w:jc w:val="both"/>
        <w:rPr>
          <w:sz w:val="20"/>
        </w:rPr>
      </w:pPr>
      <w:r>
        <w:rPr>
          <w:color w:val="231F20"/>
          <w:sz w:val="20"/>
        </w:rPr>
        <w:t>explore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options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avoid</w:t>
      </w:r>
      <w:r>
        <w:rPr>
          <w:color w:val="231F20"/>
          <w:spacing w:val="-2"/>
          <w:sz w:val="20"/>
        </w:rPr>
        <w:t> foreclosure;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9" w:lineRule="auto" w:before="100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advise you of your right to an additional meeting within 14 days to discuss your financial options; and</w:t>
      </w:r>
    </w:p>
    <w:p>
      <w:pPr>
        <w:pStyle w:val="ListParagraph"/>
        <w:numPr>
          <w:ilvl w:val="1"/>
          <w:numId w:val="1"/>
        </w:numPr>
        <w:tabs>
          <w:tab w:pos="999" w:val="left" w:leader="none"/>
        </w:tabs>
        <w:spacing w:line="249" w:lineRule="auto" w:before="91" w:after="0"/>
        <w:ind w:left="999" w:right="0" w:hanging="270"/>
        <w:jc w:val="both"/>
        <w:rPr>
          <w:sz w:val="20"/>
        </w:rPr>
      </w:pPr>
      <w:r>
        <w:rPr>
          <w:color w:val="231F20"/>
          <w:sz w:val="20"/>
        </w:rPr>
        <w:t>provide you with the toll-free Department of Housing and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Urban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Development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(HUD)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phone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find a HUD-certified housing counseling agency.</w:t>
      </w:r>
    </w:p>
    <w:p>
      <w:pPr>
        <w:pStyle w:val="BodyText"/>
        <w:spacing w:line="249" w:lineRule="auto" w:before="183"/>
        <w:ind w:left="459"/>
      </w:pPr>
      <w:r>
        <w:rPr>
          <w:color w:val="231F20"/>
        </w:rPr>
        <w:t>At least 30 days after this pre-foreclosure workout, the trustee — named in the mortgage or appointed by the mortgage</w:t>
      </w:r>
      <w:r>
        <w:rPr>
          <w:color w:val="231F20"/>
          <w:spacing w:val="37"/>
        </w:rPr>
        <w:t> </w:t>
      </w:r>
      <w:r>
        <w:rPr>
          <w:color w:val="231F20"/>
        </w:rPr>
        <w:t>holder</w:t>
      </w:r>
      <w:r>
        <w:rPr>
          <w:color w:val="231F20"/>
          <w:spacing w:val="37"/>
        </w:rPr>
        <w:t> </w:t>
      </w:r>
      <w:r>
        <w:rPr>
          <w:color w:val="231F20"/>
        </w:rPr>
        <w:t>at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time</w:t>
      </w:r>
      <w:r>
        <w:rPr>
          <w:color w:val="231F20"/>
          <w:spacing w:val="37"/>
        </w:rPr>
        <w:t> </w:t>
      </w:r>
      <w:r>
        <w:rPr>
          <w:color w:val="231F20"/>
        </w:rPr>
        <w:t>of</w:t>
      </w:r>
      <w:r>
        <w:rPr>
          <w:color w:val="231F20"/>
          <w:spacing w:val="37"/>
        </w:rPr>
        <w:t> </w:t>
      </w:r>
      <w:r>
        <w:rPr>
          <w:color w:val="231F20"/>
        </w:rPr>
        <w:t>foreclosure</w:t>
      </w:r>
      <w:r>
        <w:rPr>
          <w:color w:val="231F20"/>
          <w:spacing w:val="37"/>
        </w:rPr>
        <w:t> </w:t>
      </w:r>
      <w:r>
        <w:rPr>
          <w:color w:val="231F20"/>
        </w:rPr>
        <w:t>—</w:t>
      </w:r>
      <w:r>
        <w:rPr>
          <w:color w:val="231F20"/>
          <w:spacing w:val="37"/>
        </w:rPr>
        <w:t> </w:t>
      </w:r>
      <w:r>
        <w:rPr>
          <w:color w:val="231F20"/>
        </w:rPr>
        <w:t>will</w:t>
      </w:r>
      <w:r>
        <w:rPr>
          <w:color w:val="231F20"/>
          <w:spacing w:val="37"/>
        </w:rPr>
        <w:t> </w:t>
      </w:r>
      <w:r>
        <w:rPr>
          <w:color w:val="231F20"/>
        </w:rPr>
        <w:t>begin</w:t>
      </w:r>
    </w:p>
    <w:p>
      <w:pPr>
        <w:pStyle w:val="BodyText"/>
        <w:spacing w:before="94"/>
      </w:pPr>
      <w:r>
        <w:rPr/>
        <w:br w:type="column"/>
      </w:r>
      <w:r>
        <w:rPr>
          <w:color w:val="231F20"/>
        </w:rPr>
        <w:t>foreclosure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recording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NOD.</w:t>
      </w:r>
    </w:p>
    <w:p>
      <w:pPr>
        <w:pStyle w:val="BodyText"/>
        <w:spacing w:line="249" w:lineRule="auto" w:before="100"/>
        <w:ind w:right="457"/>
      </w:pPr>
      <w:r>
        <w:rPr>
          <w:color w:val="231F20"/>
        </w:rPr>
        <w:t>The NOD sets forth your monetary default on the note or other obligation secured by the mortgage.</w:t>
      </w:r>
    </w:p>
    <w:p>
      <w:pPr>
        <w:pStyle w:val="BodyText"/>
        <w:spacing w:line="249" w:lineRule="auto"/>
        <w:ind w:right="458"/>
      </w:pPr>
      <w:r>
        <w:rPr>
          <w:color w:val="231F20"/>
        </w:rPr>
        <w:t>Once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NOD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recorded,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trustee</w:t>
      </w:r>
      <w:r>
        <w:rPr>
          <w:color w:val="231F20"/>
          <w:spacing w:val="-8"/>
        </w:rPr>
        <w:t> </w:t>
      </w:r>
      <w:r>
        <w:rPr>
          <w:color w:val="231F20"/>
        </w:rPr>
        <w:t>needs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allow</w:t>
      </w:r>
      <w:r>
        <w:rPr>
          <w:color w:val="231F20"/>
          <w:spacing w:val="-8"/>
        </w:rPr>
        <w:t> </w:t>
      </w:r>
      <w:r>
        <w:rPr>
          <w:color w:val="231F20"/>
        </w:rPr>
        <w:t>three months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pass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advertising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posting</w:t>
      </w:r>
      <w:r>
        <w:rPr>
          <w:color w:val="231F20"/>
          <w:spacing w:val="-7"/>
        </w:rPr>
        <w:t> </w:t>
      </w:r>
      <w:r>
        <w:rPr>
          <w:color w:val="231F20"/>
        </w:rPr>
        <w:t>notice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 date of the trustee’s sale.</w:t>
      </w:r>
    </w:p>
    <w:p>
      <w:pPr>
        <w:pStyle w:val="BodyText"/>
        <w:spacing w:line="249" w:lineRule="auto" w:before="93"/>
        <w:ind w:right="458"/>
      </w:pP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trustee</w:t>
      </w:r>
      <w:r>
        <w:rPr>
          <w:color w:val="231F20"/>
          <w:spacing w:val="-1"/>
        </w:rPr>
        <w:t> </w:t>
      </w:r>
      <w:r>
        <w:rPr>
          <w:color w:val="231F20"/>
        </w:rPr>
        <w:t>then</w:t>
      </w:r>
      <w:r>
        <w:rPr>
          <w:color w:val="231F20"/>
          <w:spacing w:val="-1"/>
        </w:rPr>
        <w:t> </w:t>
      </w:r>
      <w:r>
        <w:rPr>
          <w:color w:val="231F20"/>
        </w:rPr>
        <w:t>posts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NOTS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property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mails you a copy at least 20 days before the date of the sale.</w:t>
      </w:r>
    </w:p>
    <w:p>
      <w:pPr>
        <w:pStyle w:val="BodyText"/>
        <w:spacing w:line="249" w:lineRule="auto"/>
        <w:ind w:right="458"/>
      </w:pPr>
      <w:r>
        <w:rPr>
          <w:color w:val="231F20"/>
        </w:rPr>
        <w:t>However, after an NOD is recorded and prior to five business days before the trustee’s sale, you can terminate the foreclosure proceedings by paying: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9" w:lineRule="auto" w:before="93" w:after="0"/>
        <w:ind w:left="859" w:right="457" w:hanging="270"/>
        <w:jc w:val="both"/>
        <w:rPr>
          <w:sz w:val="20"/>
        </w:rPr>
      </w:pPr>
      <w:r>
        <w:rPr>
          <w:color w:val="231F20"/>
          <w:sz w:val="20"/>
        </w:rPr>
        <w:t>the delinquent amounts due on the mortgage as described in the NOD, plus foreclosure charges, called reinstatement; or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49" w:lineRule="auto" w:before="92" w:after="0"/>
        <w:ind w:left="859" w:right="457" w:hanging="270"/>
        <w:jc w:val="both"/>
        <w:rPr>
          <w:sz w:val="20"/>
        </w:rPr>
      </w:pPr>
      <w:r>
        <w:rPr>
          <w:color w:val="231F20"/>
          <w:sz w:val="20"/>
        </w:rPr>
        <w:t>the entire amount due on the mortgage, plus foreclosure charges, called redemption.</w:t>
      </w:r>
    </w:p>
    <w:p>
      <w:pPr>
        <w:pStyle w:val="BodyText"/>
        <w:spacing w:line="249" w:lineRule="auto" w:before="182"/>
        <w:ind w:right="458"/>
      </w:pPr>
      <w:r>
        <w:rPr>
          <w:color w:val="231F20"/>
        </w:rPr>
        <w:t>Thus, you will have approximately 105 days after the NOD is recorded to cure the default and reinstate the mortgage.</w:t>
      </w:r>
    </w:p>
    <w:p>
      <w:pPr>
        <w:pStyle w:val="BodyText"/>
        <w:spacing w:line="249" w:lineRule="auto" w:before="92"/>
        <w:ind w:right="457"/>
      </w:pPr>
      <w:r>
        <w:rPr>
          <w:color w:val="231F20"/>
        </w:rPr>
        <w:t>On reinstatement of the mortgage, the NOD is rescinded by the trustee and you can continue your ownership of the property as though the mortgage was never in default.</w:t>
      </w:r>
    </w:p>
    <w:p>
      <w:pPr>
        <w:pStyle w:val="BodyText"/>
        <w:spacing w:line="249" w:lineRule="auto" w:before="92"/>
        <w:ind w:right="457"/>
      </w:pPr>
      <w:r>
        <w:rPr>
          <w:color w:val="231F20"/>
        </w:rPr>
        <w:t>If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4"/>
        </w:rPr>
        <w:t> </w:t>
      </w:r>
      <w:r>
        <w:rPr>
          <w:color w:val="231F20"/>
        </w:rPr>
        <w:t>do</w:t>
      </w:r>
      <w:r>
        <w:rPr>
          <w:color w:val="231F20"/>
          <w:spacing w:val="-14"/>
        </w:rPr>
        <w:t> </w:t>
      </w:r>
      <w:r>
        <w:rPr>
          <w:color w:val="231F20"/>
        </w:rPr>
        <w:t>not</w:t>
      </w:r>
      <w:r>
        <w:rPr>
          <w:color w:val="231F20"/>
          <w:spacing w:val="-14"/>
        </w:rPr>
        <w:t> </w:t>
      </w:r>
      <w:r>
        <w:rPr>
          <w:color w:val="231F20"/>
        </w:rPr>
        <w:t>reinstate</w:t>
      </w:r>
      <w:r>
        <w:rPr>
          <w:color w:val="231F20"/>
          <w:spacing w:val="-14"/>
        </w:rPr>
        <w:t> </w:t>
      </w:r>
      <w:r>
        <w:rPr>
          <w:color w:val="231F20"/>
        </w:rPr>
        <w:t>or</w:t>
      </w:r>
      <w:r>
        <w:rPr>
          <w:color w:val="231F20"/>
          <w:spacing w:val="-14"/>
        </w:rPr>
        <w:t> </w:t>
      </w:r>
      <w:r>
        <w:rPr>
          <w:color w:val="231F20"/>
        </w:rPr>
        <w:t>redeem</w:t>
      </w:r>
      <w:r>
        <w:rPr>
          <w:color w:val="231F20"/>
          <w:spacing w:val="-14"/>
        </w:rPr>
        <w:t> </w:t>
      </w:r>
      <w:r>
        <w:rPr>
          <w:color w:val="231F20"/>
        </w:rPr>
        <w:t>(full</w:t>
      </w:r>
      <w:r>
        <w:rPr>
          <w:color w:val="231F20"/>
          <w:spacing w:val="-14"/>
        </w:rPr>
        <w:t> </w:t>
      </w:r>
      <w:r>
        <w:rPr>
          <w:color w:val="231F20"/>
        </w:rPr>
        <w:t>payoff)</w:t>
      </w:r>
      <w:r>
        <w:rPr>
          <w:color w:val="231F20"/>
          <w:spacing w:val="-14"/>
        </w:rPr>
        <w:t> </w:t>
      </w:r>
      <w:r>
        <w:rPr>
          <w:color w:val="231F20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</w:rPr>
        <w:t>mortgage, a trustee’s</w:t>
      </w:r>
      <w:r>
        <w:rPr>
          <w:color w:val="231F20"/>
          <w:spacing w:val="-1"/>
        </w:rPr>
        <w:t> </w:t>
      </w:r>
      <w:r>
        <w:rPr>
          <w:color w:val="231F20"/>
        </w:rPr>
        <w:t>sale will be held in</w:t>
      </w:r>
      <w:r>
        <w:rPr>
          <w:color w:val="231F20"/>
          <w:spacing w:val="-1"/>
        </w:rPr>
        <w:t> </w:t>
      </w:r>
      <w:r>
        <w:rPr>
          <w:color w:val="231F20"/>
        </w:rPr>
        <w:t>the county where your home is located via a public auction.</w:t>
      </w:r>
    </w:p>
    <w:p>
      <w:pPr>
        <w:pStyle w:val="BodyText"/>
        <w:spacing w:line="249" w:lineRule="auto" w:before="93"/>
        <w:ind w:right="459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trustee’s</w:t>
      </w:r>
      <w:r>
        <w:rPr>
          <w:color w:val="231F20"/>
          <w:spacing w:val="-8"/>
        </w:rPr>
        <w:t> </w:t>
      </w:r>
      <w:r>
        <w:rPr>
          <w:color w:val="231F20"/>
        </w:rPr>
        <w:t>sale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final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trustee’s</w:t>
      </w:r>
      <w:r>
        <w:rPr>
          <w:color w:val="231F20"/>
          <w:spacing w:val="-8"/>
        </w:rPr>
        <w:t> </w:t>
      </w:r>
      <w:r>
        <w:rPr>
          <w:color w:val="231F20"/>
        </w:rPr>
        <w:t>acceptance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 last and highest bid.</w:t>
      </w:r>
    </w:p>
    <w:p>
      <w:pPr>
        <w:pStyle w:val="BodyText"/>
        <w:spacing w:line="249" w:lineRule="auto"/>
        <w:ind w:right="458"/>
      </w:pPr>
      <w:r>
        <w:rPr>
          <w:color w:val="231F20"/>
        </w:rPr>
        <w:t>Following the sale, the trustee has a duty to distribute any surplus funds back to you and the junior lienholders.</w:t>
      </w:r>
    </w:p>
    <w:p>
      <w:pPr>
        <w:spacing w:after="0" w:line="249" w:lineRule="auto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spacing w:before="154"/>
        <w:ind w:left="0"/>
        <w:jc w:val="left"/>
      </w:pPr>
    </w:p>
    <w:p>
      <w:pPr>
        <w:spacing w:line="249" w:lineRule="auto" w:before="0"/>
        <w:ind w:left="1136" w:right="870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138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97957</wp:posOffset>
            </wp:positionV>
            <wp:extent cx="600807" cy="69290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138"/>
        <w:jc w:val="left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138" w:right="5720"/>
        <w:jc w:val="left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83"/>
        <w:ind w:lef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277482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21.849024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5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71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0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1"/>
      <w:ind w:left="319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97" w:lineRule="exact"/>
    </w:pPr>
    <w:rPr>
      <w:rFonts w:ascii="Arial" w:hAnsi="Arial" w:eastAsia="Arial" w:cs="Arial"/>
      <w:b/>
      <w:bCs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99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2024-09-08T23:07:58Z</dcterms:created>
  <dcterms:modified xsi:type="dcterms:W3CDTF">2024-09-08T23:07:58Z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