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1996948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18"/>
                                <w:ind w:left="86" w:right="0" w:firstLine="0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54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1"/>
                                  <w:sz w:val="54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54"/>
                                </w:rPr>
                                <w:t>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2"/>
                                  <w:sz w:val="54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54"/>
                                </w:rPr>
                                <w:t>HOA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2"/>
                                  <w:sz w:val="54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sz w:val="54"/>
                                </w:rPr>
                                <w:t>assessments?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3" coordorigin="0,0" coordsize="11520,4637">
                <v:shape style="position:absolute;left:0;top:0;width:11520;height:4637" type="#_x0000_t75" id="docshape4" stroked="false">
                  <v:imagedata r:id="rId6" o:title=""/>
                </v:shape>
                <v:shape style="position:absolute;left:0;top:3144;width:11520;height:1037" type="#_x0000_t202" id="docshape5" filled="true" fillcolor="#d2232a" stroked="false">
                  <v:textbox inset="0,0,0,0">
                    <w:txbxContent>
                      <w:p>
                        <w:pPr>
                          <w:spacing w:before="218"/>
                          <w:ind w:left="86" w:right="0" w:firstLine="0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5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54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1"/>
                            <w:sz w:val="54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54"/>
                          </w:rPr>
                          <w:t>are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2"/>
                            <w:sz w:val="54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54"/>
                          </w:rPr>
                          <w:t>HOA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2"/>
                            <w:sz w:val="54"/>
                          </w:rPr>
                          <w:t> 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54"/>
                          </w:rPr>
                          <w:t>assessments?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71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729" w:top="380" w:bottom="1920" w:left="260" w:right="260"/>
          <w:pgNumType w:start="1"/>
        </w:sectPr>
      </w:pPr>
    </w:p>
    <w:p>
      <w:pPr>
        <w:pStyle w:val="BodyText"/>
        <w:spacing w:line="249" w:lineRule="auto" w:before="114"/>
        <w:ind w:left="11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449002</wp:posOffset>
                </wp:positionH>
                <wp:positionV relativeFrom="paragraph">
                  <wp:posOffset>3016</wp:posOffset>
                </wp:positionV>
                <wp:extent cx="346075" cy="4159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6075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14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545pt;margin-top:.237489pt;width:27.25pt;height:32.75pt;mso-position-horizontal-relative:page;mso-position-vertical-relative:paragraph;z-index:-15772672" type="#_x0000_t202" id="docshape6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D2232A"/>
                          <w:spacing w:val="-14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110"/>
        </w:rPr>
        <w:t>Ownership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unit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condominium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project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or </w:t>
      </w:r>
      <w:r>
        <w:rPr>
          <w:color w:val="231F20"/>
          <w:spacing w:val="6"/>
        </w:rPr>
        <w:t>other</w:t>
      </w:r>
      <w:r>
        <w:rPr>
          <w:color w:val="231F20"/>
        </w:rPr>
        <w:t> </w:t>
      </w:r>
      <w:r>
        <w:rPr>
          <w:color w:val="231F20"/>
          <w:spacing w:val="6"/>
        </w:rPr>
        <w:t>residential</w:t>
      </w:r>
      <w:r>
        <w:rPr>
          <w:color w:val="231F20"/>
          <w:spacing w:val="4"/>
        </w:rPr>
        <w:t> </w:t>
      </w:r>
      <w:r>
        <w:rPr>
          <w:color w:val="231F20"/>
          <w:spacing w:val="6"/>
        </w:rPr>
        <w:t>common</w:t>
      </w:r>
      <w:r>
        <w:rPr>
          <w:color w:val="231F20"/>
          <w:spacing w:val="3"/>
        </w:rPr>
        <w:t> </w:t>
      </w:r>
      <w:r>
        <w:rPr>
          <w:color w:val="231F20"/>
          <w:spacing w:val="6"/>
        </w:rPr>
        <w:t>interest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development</w:t>
      </w:r>
    </w:p>
    <w:p>
      <w:pPr>
        <w:pStyle w:val="BodyText"/>
        <w:spacing w:line="249" w:lineRule="auto" w:before="2"/>
        <w:ind w:left="459"/>
        <w:jc w:val="both"/>
      </w:pPr>
      <w:r>
        <w:rPr>
          <w:color w:val="231F20"/>
          <w:w w:val="105"/>
        </w:rPr>
        <w:t>(CID) includes compulsory membership in the project’s </w:t>
      </w:r>
      <w:r>
        <w:rPr>
          <w:b/>
          <w:color w:val="231F20"/>
        </w:rPr>
        <w:t>homeowners’ association (HOA)</w:t>
      </w:r>
      <w:r>
        <w:rPr>
          <w:color w:val="231F20"/>
        </w:rPr>
        <w:t>. The HOA is in charge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managing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operating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entire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project.</w:t>
      </w:r>
    </w:p>
    <w:p>
      <w:pPr>
        <w:pStyle w:val="BodyText"/>
        <w:spacing w:line="249" w:lineRule="auto" w:before="92"/>
        <w:ind w:left="459"/>
        <w:jc w:val="both"/>
      </w:pPr>
      <w:r>
        <w:rPr>
          <w:color w:val="231F20"/>
          <w:w w:val="110"/>
        </w:rPr>
        <w:t>The obligations you undertake when you purchase a unit in a CID, and the HOA’s documentation of </w:t>
      </w:r>
      <w:r>
        <w:rPr>
          <w:color w:val="231F20"/>
          <w:w w:val="110"/>
        </w:rPr>
        <w:t>those obligations, fall into two classifications: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40" w:lineRule="auto" w:before="93" w:after="0"/>
        <w:ind w:left="1178" w:right="0" w:hanging="359"/>
        <w:jc w:val="both"/>
        <w:rPr>
          <w:sz w:val="20"/>
        </w:rPr>
      </w:pPr>
      <w:r>
        <w:rPr>
          <w:i/>
          <w:color w:val="231F20"/>
          <w:spacing w:val="-2"/>
          <w:w w:val="110"/>
          <w:sz w:val="20"/>
        </w:rPr>
        <w:t>use</w:t>
      </w:r>
      <w:r>
        <w:rPr>
          <w:i/>
          <w:color w:val="231F20"/>
          <w:spacing w:val="-5"/>
          <w:w w:val="110"/>
          <w:sz w:val="20"/>
        </w:rPr>
        <w:t> </w:t>
      </w:r>
      <w:r>
        <w:rPr>
          <w:i/>
          <w:color w:val="231F20"/>
          <w:spacing w:val="-2"/>
          <w:w w:val="110"/>
          <w:sz w:val="20"/>
        </w:rPr>
        <w:t>restrictions</w:t>
      </w:r>
      <w:r>
        <w:rPr>
          <w:i/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contained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in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the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HOA’s: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4" w:lineRule="exact" w:before="10" w:after="0"/>
        <w:ind w:left="1898" w:right="0" w:hanging="359"/>
        <w:jc w:val="both"/>
        <w:rPr>
          <w:sz w:val="20"/>
        </w:rPr>
      </w:pPr>
      <w:r>
        <w:rPr>
          <w:color w:val="231F20"/>
          <w:w w:val="110"/>
          <w:sz w:val="20"/>
        </w:rPr>
        <w:t>articles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incorporation;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0" w:lineRule="exact" w:before="0" w:after="0"/>
        <w:ind w:left="1898" w:right="0" w:hanging="359"/>
        <w:jc w:val="both"/>
        <w:rPr>
          <w:sz w:val="20"/>
        </w:rPr>
      </w:pPr>
      <w:r>
        <w:rPr>
          <w:color w:val="231F20"/>
          <w:w w:val="105"/>
          <w:sz w:val="20"/>
        </w:rPr>
        <w:t>by-</w:t>
      </w:r>
      <w:r>
        <w:rPr>
          <w:color w:val="231F20"/>
          <w:spacing w:val="-2"/>
          <w:w w:val="105"/>
          <w:sz w:val="20"/>
        </w:rPr>
        <w:t>laws;</w:t>
      </w:r>
    </w:p>
    <w:p>
      <w:pPr>
        <w:pStyle w:val="ListParagraph"/>
        <w:numPr>
          <w:ilvl w:val="1"/>
          <w:numId w:val="1"/>
        </w:numPr>
        <w:tabs>
          <w:tab w:pos="1899" w:val="left" w:leader="none"/>
        </w:tabs>
        <w:spacing w:line="232" w:lineRule="auto" w:before="1" w:after="0"/>
        <w:ind w:left="1899" w:right="1" w:hanging="360"/>
        <w:jc w:val="left"/>
        <w:rPr>
          <w:sz w:val="20"/>
        </w:rPr>
      </w:pPr>
      <w:r>
        <w:rPr>
          <w:color w:val="231F20"/>
          <w:sz w:val="20"/>
        </w:rPr>
        <w:t>Covenants, Conditions and Restrictions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(CC&amp;Rs) of record;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4" w:lineRule="exact" w:before="11" w:after="0"/>
        <w:ind w:left="1898" w:right="0" w:hanging="359"/>
        <w:jc w:val="left"/>
        <w:rPr>
          <w:sz w:val="20"/>
        </w:rPr>
      </w:pPr>
      <w:r>
        <w:rPr>
          <w:color w:val="231F20"/>
          <w:w w:val="110"/>
          <w:sz w:val="20"/>
        </w:rPr>
        <w:t>age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restriction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statements;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0" w:lineRule="exact" w:before="0" w:after="0"/>
        <w:ind w:left="1898" w:right="0" w:hanging="359"/>
        <w:jc w:val="left"/>
        <w:rPr>
          <w:sz w:val="20"/>
        </w:rPr>
      </w:pPr>
      <w:r>
        <w:rPr>
          <w:color w:val="231F20"/>
          <w:w w:val="110"/>
          <w:sz w:val="20"/>
        </w:rPr>
        <w:t>operating</w:t>
      </w:r>
      <w:r>
        <w:rPr>
          <w:color w:val="231F20"/>
          <w:spacing w:val="26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rules.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9" w:lineRule="auto" w:before="0" w:after="0"/>
        <w:ind w:left="1179" w:right="1" w:hanging="360"/>
        <w:jc w:val="left"/>
        <w:rPr>
          <w:sz w:val="20"/>
        </w:rPr>
      </w:pPr>
      <w:r>
        <w:rPr>
          <w:i/>
          <w:color w:val="231F20"/>
          <w:w w:val="110"/>
          <w:sz w:val="20"/>
        </w:rPr>
        <w:t>financial</w:t>
      </w:r>
      <w:r>
        <w:rPr>
          <w:i/>
          <w:color w:val="231F20"/>
          <w:spacing w:val="40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obligations</w:t>
      </w:r>
      <w:r>
        <w:rPr>
          <w:i/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pay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assessments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as documented in annual reports which include: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4" w:lineRule="exact" w:before="88" w:after="0"/>
        <w:ind w:left="1898" w:right="0" w:hanging="359"/>
        <w:jc w:val="left"/>
        <w:rPr>
          <w:sz w:val="20"/>
        </w:rPr>
      </w:pPr>
      <w:r>
        <w:rPr>
          <w:color w:val="231F20"/>
          <w:w w:val="110"/>
          <w:sz w:val="20"/>
        </w:rPr>
        <w:t>pro</w:t>
      </w:r>
      <w:r>
        <w:rPr>
          <w:color w:val="231F20"/>
          <w:spacing w:val="11"/>
          <w:w w:val="110"/>
          <w:sz w:val="20"/>
        </w:rPr>
        <w:t> </w:t>
      </w:r>
      <w:r>
        <w:rPr>
          <w:color w:val="231F20"/>
          <w:w w:val="110"/>
          <w:sz w:val="20"/>
        </w:rPr>
        <w:t>forma</w:t>
      </w:r>
      <w:r>
        <w:rPr>
          <w:color w:val="231F20"/>
          <w:spacing w:val="11"/>
          <w:w w:val="110"/>
          <w:sz w:val="20"/>
        </w:rPr>
        <w:t> </w:t>
      </w:r>
      <w:r>
        <w:rPr>
          <w:color w:val="231F20"/>
          <w:w w:val="110"/>
          <w:sz w:val="20"/>
        </w:rPr>
        <w:t>operating</w:t>
      </w:r>
      <w:r>
        <w:rPr>
          <w:color w:val="231F20"/>
          <w:spacing w:val="1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budgets;</w:t>
      </w:r>
    </w:p>
    <w:p>
      <w:pPr>
        <w:pStyle w:val="ListParagraph"/>
        <w:numPr>
          <w:ilvl w:val="1"/>
          <w:numId w:val="1"/>
        </w:numPr>
        <w:tabs>
          <w:tab w:pos="1899" w:val="left" w:leader="none"/>
        </w:tabs>
        <w:spacing w:line="232" w:lineRule="auto" w:before="1" w:after="0"/>
        <w:ind w:left="1899" w:right="1" w:hanging="360"/>
        <w:jc w:val="left"/>
        <w:rPr>
          <w:sz w:val="20"/>
        </w:rPr>
      </w:pPr>
      <w:r>
        <w:rPr>
          <w:color w:val="231F20"/>
          <w:w w:val="110"/>
          <w:sz w:val="20"/>
        </w:rPr>
        <w:t>a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Certified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Public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Accountant’s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(CPA’s) financial review;</w:t>
      </w:r>
    </w:p>
    <w:p>
      <w:pPr>
        <w:pStyle w:val="ListParagraph"/>
        <w:numPr>
          <w:ilvl w:val="1"/>
          <w:numId w:val="1"/>
        </w:numPr>
        <w:tabs>
          <w:tab w:pos="1899" w:val="left" w:leader="none"/>
        </w:tabs>
        <w:spacing w:line="232" w:lineRule="auto" w:before="16" w:after="0"/>
        <w:ind w:left="1899" w:right="0" w:hanging="360"/>
        <w:jc w:val="left"/>
        <w:rPr>
          <w:sz w:val="20"/>
        </w:rPr>
      </w:pPr>
      <w:r>
        <w:rPr>
          <w:color w:val="231F20"/>
          <w:w w:val="115"/>
          <w:sz w:val="20"/>
        </w:rPr>
        <w:t>an</w:t>
      </w:r>
      <w:r>
        <w:rPr>
          <w:color w:val="231F20"/>
          <w:spacing w:val="-2"/>
          <w:w w:val="115"/>
          <w:sz w:val="20"/>
        </w:rPr>
        <w:t> </w:t>
      </w:r>
      <w:r>
        <w:rPr>
          <w:color w:val="231F20"/>
          <w:w w:val="115"/>
          <w:sz w:val="20"/>
        </w:rPr>
        <w:t>assessment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of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collections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and</w:t>
      </w:r>
      <w:r>
        <w:rPr>
          <w:color w:val="231F20"/>
          <w:spacing w:val="-1"/>
          <w:w w:val="115"/>
          <w:sz w:val="20"/>
        </w:rPr>
        <w:t> </w:t>
      </w:r>
      <w:r>
        <w:rPr>
          <w:color w:val="231F20"/>
          <w:w w:val="115"/>
          <w:sz w:val="20"/>
        </w:rPr>
        <w:t>the collections enforcement policy;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4" w:lineRule="exact" w:before="11" w:after="0"/>
        <w:ind w:left="1898" w:right="0" w:hanging="359"/>
        <w:jc w:val="left"/>
        <w:rPr>
          <w:sz w:val="20"/>
        </w:rPr>
      </w:pPr>
      <w:r>
        <w:rPr>
          <w:color w:val="231F20"/>
          <w:w w:val="110"/>
          <w:sz w:val="20"/>
        </w:rPr>
        <w:t>an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insurance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policy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summary;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0" w:lineRule="exact" w:before="0" w:after="0"/>
        <w:ind w:left="1898" w:right="0" w:hanging="359"/>
        <w:jc w:val="left"/>
        <w:rPr>
          <w:sz w:val="20"/>
        </w:rPr>
      </w:pPr>
      <w:r>
        <w:rPr>
          <w:color w:val="231F20"/>
          <w:w w:val="110"/>
          <w:sz w:val="20"/>
        </w:rPr>
        <w:t>a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list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construction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defects;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  <w:tab w:pos="1900" w:val="left" w:leader="none"/>
        </w:tabs>
        <w:spacing w:line="232" w:lineRule="auto" w:before="2" w:after="0"/>
        <w:ind w:left="1900" w:right="0" w:hanging="361"/>
        <w:jc w:val="left"/>
        <w:rPr>
          <w:sz w:val="20"/>
        </w:rPr>
      </w:pPr>
      <w:r>
        <w:rPr>
          <w:color w:val="231F20"/>
          <w:w w:val="115"/>
          <w:sz w:val="20"/>
        </w:rPr>
        <w:t>any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notice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of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changes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made</w:t>
      </w:r>
      <w:r>
        <w:rPr>
          <w:color w:val="231F20"/>
          <w:spacing w:val="80"/>
          <w:w w:val="115"/>
          <w:sz w:val="20"/>
        </w:rPr>
        <w:t> </w:t>
      </w:r>
      <w:r>
        <w:rPr>
          <w:color w:val="231F20"/>
          <w:w w:val="115"/>
          <w:sz w:val="20"/>
        </w:rPr>
        <w:t>in</w:t>
      </w:r>
      <w:r>
        <w:rPr>
          <w:color w:val="231F20"/>
          <w:spacing w:val="40"/>
          <w:w w:val="115"/>
          <w:sz w:val="20"/>
        </w:rPr>
        <w:t> </w:t>
      </w:r>
      <w:r>
        <w:rPr>
          <w:color w:val="231F20"/>
          <w:w w:val="110"/>
          <w:sz w:val="20"/>
        </w:rPr>
        <w:t>assessments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not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yet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due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payable.</w:t>
      </w:r>
    </w:p>
    <w:p>
      <w:pPr>
        <w:pStyle w:val="BodyText"/>
        <w:spacing w:line="249" w:lineRule="auto" w:before="114"/>
        <w:ind w:left="319" w:right="457"/>
        <w:jc w:val="both"/>
      </w:pPr>
      <w:r>
        <w:rPr/>
        <w:br w:type="column"/>
      </w:r>
      <w:r>
        <w:rPr>
          <w:color w:val="231F20"/>
          <w:spacing w:val="-2"/>
          <w:w w:val="110"/>
        </w:rPr>
        <w:t>There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two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types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assessment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charges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fund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the </w:t>
      </w:r>
      <w:r>
        <w:rPr>
          <w:color w:val="231F20"/>
          <w:w w:val="110"/>
        </w:rPr>
        <w:t>expenditures of the HOA: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  <w:tab w:pos="1039" w:val="left" w:leader="none"/>
        </w:tabs>
        <w:spacing w:line="249" w:lineRule="auto" w:before="92" w:after="0"/>
        <w:ind w:left="1039" w:right="457" w:hanging="360"/>
        <w:jc w:val="both"/>
        <w:rPr>
          <w:sz w:val="20"/>
        </w:rPr>
      </w:pPr>
      <w:r>
        <w:rPr>
          <w:b/>
          <w:color w:val="231F20"/>
          <w:w w:val="110"/>
          <w:sz w:val="20"/>
        </w:rPr>
        <w:t>Regular</w:t>
      </w:r>
      <w:r>
        <w:rPr>
          <w:b/>
          <w:color w:val="231F20"/>
          <w:w w:val="110"/>
          <w:sz w:val="20"/>
        </w:rPr>
        <w:t> assessments</w:t>
      </w:r>
      <w:r>
        <w:rPr>
          <w:b/>
          <w:color w:val="231F20"/>
          <w:w w:val="110"/>
          <w:sz w:val="20"/>
        </w:rPr>
        <w:t> </w:t>
      </w:r>
      <w:r>
        <w:rPr>
          <w:color w:val="231F20"/>
          <w:w w:val="110"/>
          <w:sz w:val="20"/>
        </w:rPr>
        <w:t>fund</w:t>
      </w:r>
      <w:r>
        <w:rPr>
          <w:color w:val="231F20"/>
          <w:w w:val="110"/>
          <w:sz w:val="20"/>
        </w:rPr>
        <w:t> the</w:t>
      </w:r>
      <w:r>
        <w:rPr>
          <w:color w:val="231F20"/>
          <w:w w:val="110"/>
          <w:sz w:val="20"/>
        </w:rPr>
        <w:t> operating budget to pay for the cost of maintaining </w:t>
      </w:r>
      <w:r>
        <w:rPr>
          <w:color w:val="231F20"/>
          <w:w w:val="110"/>
          <w:sz w:val="20"/>
        </w:rPr>
        <w:t>the common</w:t>
      </w:r>
      <w:r>
        <w:rPr>
          <w:color w:val="231F20"/>
          <w:w w:val="110"/>
          <w:sz w:val="20"/>
        </w:rPr>
        <w:t> areas.</w:t>
      </w:r>
      <w:r>
        <w:rPr>
          <w:color w:val="231F20"/>
          <w:w w:val="110"/>
          <w:sz w:val="20"/>
        </w:rPr>
        <w:t> Regular</w:t>
      </w:r>
      <w:r>
        <w:rPr>
          <w:color w:val="231F20"/>
          <w:w w:val="110"/>
          <w:sz w:val="20"/>
        </w:rPr>
        <w:t> assessments</w:t>
      </w:r>
      <w:r>
        <w:rPr>
          <w:color w:val="231F20"/>
          <w:w w:val="110"/>
          <w:sz w:val="20"/>
        </w:rPr>
        <w:t> are</w:t>
      </w:r>
      <w:r>
        <w:rPr>
          <w:color w:val="231F20"/>
          <w:w w:val="110"/>
          <w:sz w:val="20"/>
        </w:rPr>
        <w:t> set annually and are due and payable in monthly </w:t>
      </w:r>
      <w:r>
        <w:rPr>
          <w:color w:val="231F20"/>
          <w:spacing w:val="-2"/>
          <w:w w:val="110"/>
          <w:sz w:val="20"/>
        </w:rPr>
        <w:t>installments.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  <w:tab w:pos="1039" w:val="left" w:leader="none"/>
        </w:tabs>
        <w:spacing w:line="249" w:lineRule="auto" w:before="3" w:after="0"/>
        <w:ind w:left="1039" w:right="457" w:hanging="360"/>
        <w:jc w:val="both"/>
        <w:rPr>
          <w:sz w:val="20"/>
        </w:rPr>
      </w:pPr>
      <w:r>
        <w:rPr>
          <w:b/>
          <w:color w:val="231F20"/>
          <w:w w:val="110"/>
          <w:sz w:val="20"/>
        </w:rPr>
        <w:t>Special</w:t>
      </w:r>
      <w:r>
        <w:rPr>
          <w:b/>
          <w:color w:val="231F20"/>
          <w:spacing w:val="-16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assessments</w:t>
      </w:r>
      <w:r>
        <w:rPr>
          <w:b/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levied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pay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the cost of repairs and replacements that exceed the</w:t>
      </w:r>
      <w:r>
        <w:rPr>
          <w:color w:val="231F20"/>
          <w:w w:val="110"/>
          <w:sz w:val="20"/>
        </w:rPr>
        <w:t> amount</w:t>
      </w:r>
      <w:r>
        <w:rPr>
          <w:color w:val="231F20"/>
          <w:w w:val="110"/>
          <w:sz w:val="20"/>
        </w:rPr>
        <w:t> anticipated</w:t>
      </w:r>
      <w:r>
        <w:rPr>
          <w:color w:val="231F20"/>
          <w:w w:val="110"/>
          <w:sz w:val="20"/>
        </w:rPr>
        <w:t> and</w:t>
      </w:r>
      <w:r>
        <w:rPr>
          <w:color w:val="231F20"/>
          <w:w w:val="110"/>
          <w:sz w:val="20"/>
        </w:rPr>
        <w:t> funded</w:t>
      </w:r>
      <w:r>
        <w:rPr>
          <w:color w:val="231F20"/>
          <w:w w:val="110"/>
          <w:sz w:val="20"/>
        </w:rPr>
        <w:t> by</w:t>
      </w:r>
      <w:r>
        <w:rPr>
          <w:color w:val="231F20"/>
          <w:w w:val="110"/>
          <w:sz w:val="20"/>
        </w:rPr>
        <w:t> the </w:t>
      </w:r>
      <w:r>
        <w:rPr>
          <w:color w:val="231F20"/>
          <w:sz w:val="20"/>
        </w:rPr>
        <w:t>regular assessments. Special assessments are </w:t>
      </w:r>
      <w:r>
        <w:rPr>
          <w:color w:val="231F20"/>
          <w:w w:val="110"/>
          <w:sz w:val="20"/>
        </w:rPr>
        <w:t>generally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due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payable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lump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sum on</w:t>
      </w:r>
      <w:r>
        <w:rPr>
          <w:color w:val="231F20"/>
          <w:w w:val="110"/>
          <w:sz w:val="20"/>
        </w:rPr>
        <w:t> a</w:t>
      </w:r>
      <w:r>
        <w:rPr>
          <w:color w:val="231F20"/>
          <w:w w:val="110"/>
          <w:sz w:val="20"/>
        </w:rPr>
        <w:t> date</w:t>
      </w:r>
      <w:r>
        <w:rPr>
          <w:color w:val="231F20"/>
          <w:w w:val="110"/>
          <w:sz w:val="20"/>
        </w:rPr>
        <w:t> set</w:t>
      </w:r>
      <w:r>
        <w:rPr>
          <w:color w:val="231F20"/>
          <w:w w:val="110"/>
          <w:sz w:val="20"/>
        </w:rPr>
        <w:t> by</w:t>
      </w:r>
      <w:r>
        <w:rPr>
          <w:color w:val="231F20"/>
          <w:w w:val="110"/>
          <w:sz w:val="20"/>
        </w:rPr>
        <w:t> the</w:t>
      </w:r>
      <w:r>
        <w:rPr>
          <w:color w:val="231F20"/>
          <w:w w:val="110"/>
          <w:sz w:val="20"/>
        </w:rPr>
        <w:t> HOA</w:t>
      </w:r>
      <w:r>
        <w:rPr>
          <w:color w:val="231F20"/>
          <w:w w:val="110"/>
          <w:sz w:val="20"/>
        </w:rPr>
        <w:t> when</w:t>
      </w:r>
      <w:r>
        <w:rPr>
          <w:color w:val="231F20"/>
          <w:w w:val="110"/>
          <w:sz w:val="20"/>
        </w:rPr>
        <w:t> making</w:t>
      </w:r>
      <w:r>
        <w:rPr>
          <w:color w:val="231F20"/>
          <w:w w:val="110"/>
          <w:sz w:val="20"/>
        </w:rPr>
        <w:t> </w:t>
      </w:r>
      <w:r>
        <w:rPr>
          <w:color w:val="231F20"/>
          <w:w w:val="110"/>
          <w:sz w:val="20"/>
        </w:rPr>
        <w:t>the </w:t>
      </w:r>
      <w:r>
        <w:rPr>
          <w:color w:val="231F20"/>
          <w:sz w:val="20"/>
        </w:rPr>
        <w:t>assessment or added to the regular assessment </w:t>
      </w:r>
      <w:r>
        <w:rPr>
          <w:color w:val="231F20"/>
          <w:w w:val="110"/>
          <w:sz w:val="20"/>
        </w:rPr>
        <w:t>monthly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installments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specified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amount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of </w:t>
      </w:r>
      <w:r>
        <w:rPr>
          <w:color w:val="231F20"/>
          <w:spacing w:val="-2"/>
          <w:w w:val="110"/>
          <w:sz w:val="20"/>
        </w:rPr>
        <w:t>time.</w:t>
      </w:r>
    </w:p>
    <w:p>
      <w:pPr>
        <w:pStyle w:val="BodyText"/>
        <w:spacing w:line="249" w:lineRule="auto" w:before="96"/>
        <w:ind w:left="319" w:right="456"/>
        <w:jc w:val="both"/>
      </w:pPr>
      <w:r>
        <w:rPr>
          <w:color w:val="231F20"/>
          <w:w w:val="105"/>
        </w:rPr>
        <w:t>Annual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increases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dollar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amount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levied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as </w:t>
      </w:r>
      <w:r>
        <w:rPr>
          <w:i/>
          <w:color w:val="231F20"/>
          <w:w w:val="105"/>
        </w:rPr>
        <w:t>regular</w:t>
      </w:r>
      <w:r>
        <w:rPr>
          <w:i/>
          <w:color w:val="231F20"/>
          <w:w w:val="105"/>
        </w:rPr>
        <w:t> assessments</w:t>
      </w:r>
      <w:r>
        <w:rPr>
          <w:i/>
          <w:color w:val="231F20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w w:val="105"/>
        </w:rPr>
        <w:t> limited</w:t>
      </w:r>
      <w:r>
        <w:rPr>
          <w:color w:val="231F20"/>
          <w:w w:val="105"/>
        </w:rPr>
        <w:t> to</w:t>
      </w:r>
      <w:r>
        <w:rPr>
          <w:color w:val="231F20"/>
          <w:w w:val="105"/>
        </w:rPr>
        <w:t> a</w:t>
      </w:r>
      <w:r>
        <w:rPr>
          <w:color w:val="231F20"/>
          <w:w w:val="105"/>
        </w:rPr>
        <w:t> 20%</w:t>
      </w:r>
      <w:r>
        <w:rPr>
          <w:color w:val="231F20"/>
          <w:w w:val="105"/>
        </w:rPr>
        <w:t> increase</w:t>
      </w:r>
      <w:r>
        <w:rPr>
          <w:color w:val="231F20"/>
          <w:w w:val="105"/>
        </w:rPr>
        <w:t> in the regular assessment over the prior year. An </w:t>
      </w:r>
      <w:r>
        <w:rPr>
          <w:color w:val="231F20"/>
          <w:w w:val="105"/>
        </w:rPr>
        <w:t>increase in</w:t>
      </w:r>
      <w:r>
        <w:rPr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special</w:t>
      </w:r>
      <w:r>
        <w:rPr>
          <w:i/>
          <w:color w:val="231F20"/>
          <w:spacing w:val="-13"/>
          <w:w w:val="105"/>
        </w:rPr>
        <w:t> </w:t>
      </w:r>
      <w:r>
        <w:rPr>
          <w:i/>
          <w:color w:val="231F20"/>
          <w:w w:val="105"/>
        </w:rPr>
        <w:t>assessments</w:t>
      </w:r>
      <w:r>
        <w:rPr>
          <w:i/>
          <w:color w:val="231F20"/>
          <w:spacing w:val="-13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limited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5%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prior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year’s budgeted expenses.</w:t>
      </w:r>
    </w:p>
    <w:p>
      <w:pPr>
        <w:pStyle w:val="BodyText"/>
        <w:spacing w:line="249" w:lineRule="auto" w:before="95"/>
        <w:ind w:left="319" w:right="457"/>
        <w:jc w:val="both"/>
      </w:pPr>
      <w:r>
        <w:rPr>
          <w:color w:val="231F20"/>
          <w:w w:val="110"/>
        </w:rPr>
        <w:t>It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recommended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review</w:t>
      </w:r>
      <w:r>
        <w:rPr>
          <w:color w:val="231F20"/>
          <w:w w:val="110"/>
        </w:rPr>
        <w:t> all</w:t>
      </w:r>
      <w:r>
        <w:rPr>
          <w:color w:val="231F20"/>
          <w:w w:val="110"/>
        </w:rPr>
        <w:t> readily</w:t>
      </w:r>
      <w:r>
        <w:rPr>
          <w:color w:val="231F20"/>
          <w:w w:val="110"/>
        </w:rPr>
        <w:t> available HOA</w:t>
      </w:r>
      <w:r>
        <w:rPr>
          <w:color w:val="231F20"/>
          <w:w w:val="110"/>
        </w:rPr>
        <w:t> information</w:t>
      </w:r>
      <w:r>
        <w:rPr>
          <w:color w:val="231F20"/>
          <w:w w:val="110"/>
        </w:rPr>
        <w:t> with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agent</w:t>
      </w:r>
      <w:r>
        <w:rPr>
          <w:color w:val="231F20"/>
          <w:w w:val="110"/>
        </w:rPr>
        <w:t> before</w:t>
      </w:r>
      <w:r>
        <w:rPr>
          <w:color w:val="231F20"/>
          <w:w w:val="110"/>
        </w:rPr>
        <w:t> making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an offer.</w:t>
      </w:r>
      <w:r>
        <w:rPr>
          <w:color w:val="231F20"/>
          <w:w w:val="110"/>
        </w:rPr>
        <w:t> With</w:t>
      </w:r>
      <w:r>
        <w:rPr>
          <w:color w:val="231F20"/>
          <w:w w:val="110"/>
        </w:rPr>
        <w:t> this</w:t>
      </w:r>
      <w:r>
        <w:rPr>
          <w:color w:val="231F20"/>
          <w:w w:val="110"/>
        </w:rPr>
        <w:t> information,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agent</w:t>
      </w:r>
      <w:r>
        <w:rPr>
          <w:color w:val="231F20"/>
          <w:w w:val="110"/>
        </w:rPr>
        <w:t> are able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better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determine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price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pay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for the unit and whether or not you have the ability (and desire)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carry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cost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ownership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acquisition.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1729" w:top="380" w:bottom="192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6"/>
        <w:ind w:left="0"/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1729" w:top="380" w:bottom="192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65pt;width:576pt;height:18pt;mso-position-horizontal-relative:page;mso-position-vertical-relative:page;z-index:-15773184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5689014</wp:posOffset>
          </wp:positionH>
          <wp:positionV relativeFrom="page">
            <wp:posOffset>8849485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875423</wp:posOffset>
              </wp:positionH>
              <wp:positionV relativeFrom="page">
                <wp:posOffset>8820725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DRE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LIC#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01474985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925-395-</w:t>
                          </w:r>
                          <w:r>
                            <w:rPr>
                              <w:spacing w:val="-4"/>
                            </w:rPr>
                            <w:t>0175</w:t>
                          </w:r>
                        </w:p>
                        <w:p>
                          <w:pPr>
                            <w:pStyle w:val="BodyText"/>
                            <w:spacing w:line="249" w:lineRule="auto" w:before="10"/>
                            <w:ind w:left="20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94.545288pt;width:131.65pt;height:49.2pt;mso-position-horizontal-relative:page;mso-position-vertical-relative:page;z-index:-15772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DRE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LIC#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01474985</w:t>
                    </w:r>
                  </w:p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925-395-</w:t>
                    </w:r>
                    <w:r>
                      <w:rPr>
                        <w:spacing w:val="-4"/>
                      </w:rPr>
                      <w:t>0175</w:t>
                    </w:r>
                  </w:p>
                  <w:p>
                    <w:pPr>
                      <w:pStyle w:val="BodyText"/>
                      <w:spacing w:line="249" w:lineRule="auto" w:before="1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3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1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7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31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89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98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</w:pPr>
    <w:rPr>
      <w:rFonts w:ascii="Arial" w:hAnsi="Arial" w:eastAsia="Arial" w:cs="Arial"/>
      <w:b/>
      <w:bCs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98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2024-09-09T00:46:25Z</dcterms:created>
  <dcterms:modified xsi:type="dcterms:W3CDTF">2024-09-09T00:46:25Z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