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0"/>
        <w:rPr>
          <w:rFonts w:ascii="Times New Roman"/>
          <w:sz w:val="20"/>
        </w:rPr>
      </w:pPr>
    </w:p>
    <w:p>
      <w:pPr>
        <w:pStyle w:val="BodyText"/>
        <w:ind w:left="10" w:right="-4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759700" cy="99060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759700" cy="990600"/>
                        </a:xfrm>
                        <a:prstGeom prst="rect">
                          <a:avLst/>
                        </a:prstGeom>
                        <a:solidFill>
                          <a:srgbClr val="009D96"/>
                        </a:solidFill>
                      </wps:spPr>
                      <wps:txbx>
                        <w:txbxContent>
                          <w:p>
                            <w:pPr>
                              <w:spacing w:line="249" w:lineRule="auto" w:before="251"/>
                              <w:ind w:left="3629" w:right="673" w:hanging="1389"/>
                              <w:jc w:val="left"/>
                              <w:rPr>
                                <w:rFonts w:ascii="Times New Roman"/>
                                <w:b/>
                                <w:color w:val="000000"/>
                                <w:sz w:val="4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110"/>
                                <w:sz w:val="46"/>
                              </w:rPr>
                              <w:t>What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110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110"/>
                                <w:sz w:val="46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110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110"/>
                                <w:sz w:val="46"/>
                              </w:rPr>
                              <w:t>my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110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110"/>
                                <w:sz w:val="46"/>
                              </w:rPr>
                              <w:t>tax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110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110"/>
                                <w:sz w:val="46"/>
                              </w:rPr>
                              <w:t>deductions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110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110"/>
                                <w:sz w:val="46"/>
                              </w:rPr>
                              <w:t>when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w w:val="110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110"/>
                                <w:sz w:val="46"/>
                              </w:rPr>
                              <w:t>I become a homeowner?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11pt;height:78pt;mso-position-horizontal-relative:char;mso-position-vertical-relative:line" type="#_x0000_t202" id="docshape1" filled="true" fillcolor="#009d96" stroked="false">
                <w10:anchorlock/>
                <v:textbox inset="0,0,0,0">
                  <w:txbxContent>
                    <w:p>
                      <w:pPr>
                        <w:spacing w:line="249" w:lineRule="auto" w:before="251"/>
                        <w:ind w:left="3629" w:right="673" w:hanging="1389"/>
                        <w:jc w:val="left"/>
                        <w:rPr>
                          <w:rFonts w:ascii="Times New Roman"/>
                          <w:b/>
                          <w:color w:val="000000"/>
                          <w:sz w:val="46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w w:val="110"/>
                          <w:sz w:val="46"/>
                        </w:rPr>
                        <w:t>What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110"/>
                          <w:sz w:val="4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w w:val="110"/>
                          <w:sz w:val="46"/>
                        </w:rPr>
                        <w:t>are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110"/>
                          <w:sz w:val="4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w w:val="110"/>
                          <w:sz w:val="46"/>
                        </w:rPr>
                        <w:t>my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110"/>
                          <w:sz w:val="4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w w:val="110"/>
                          <w:sz w:val="46"/>
                        </w:rPr>
                        <w:t>tax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110"/>
                          <w:sz w:val="4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w w:val="110"/>
                          <w:sz w:val="46"/>
                        </w:rPr>
                        <w:t>deductions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110"/>
                          <w:sz w:val="4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w w:val="110"/>
                          <w:sz w:val="46"/>
                        </w:rPr>
                        <w:t>when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w w:val="110"/>
                          <w:sz w:val="4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w w:val="110"/>
                          <w:sz w:val="46"/>
                        </w:rPr>
                        <w:t>I become a homeowner?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tabs>
          <w:tab w:pos="2201" w:val="left" w:leader="none"/>
          <w:tab w:pos="3068" w:val="left" w:leader="none"/>
          <w:tab w:pos="3386" w:val="left" w:leader="none"/>
          <w:tab w:pos="4172" w:val="left" w:leader="none"/>
          <w:tab w:pos="4782" w:val="left" w:leader="none"/>
          <w:tab w:pos="5660" w:val="left" w:leader="none"/>
        </w:tabs>
        <w:spacing w:before="93"/>
        <w:ind w:left="145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458216</wp:posOffset>
                </wp:positionH>
                <wp:positionV relativeFrom="paragraph">
                  <wp:posOffset>23251</wp:posOffset>
                </wp:positionV>
                <wp:extent cx="367030" cy="38862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6703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1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4"/>
                              </w:rPr>
                            </w:pPr>
                            <w:r>
                              <w:rPr>
                                <w:b/>
                                <w:color w:val="009D96"/>
                                <w:spacing w:val="-5"/>
                                <w:sz w:val="54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80002pt;margin-top:1.830788pt;width:28.9pt;height:30.6pt;mso-position-horizontal-relative:page;mso-position-vertical-relative:paragraph;z-index:-15771648" type="#_x0000_t202" id="docshape2" filled="false" stroked="false">
                <v:textbox inset="0,0,0,0">
                  <w:txbxContent>
                    <w:p>
                      <w:pPr>
                        <w:spacing w:line="610" w:lineRule="exact" w:before="0"/>
                        <w:ind w:left="0" w:right="0" w:firstLine="0"/>
                        <w:jc w:val="left"/>
                        <w:rPr>
                          <w:b/>
                          <w:sz w:val="54"/>
                        </w:rPr>
                      </w:pPr>
                      <w:r>
                        <w:rPr>
                          <w:b/>
                          <w:color w:val="009D96"/>
                          <w:spacing w:val="-5"/>
                          <w:sz w:val="54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</w:rPr>
        <w:t>When</w:t>
      </w:r>
      <w:r>
        <w:rPr>
          <w:color w:val="231F20"/>
        </w:rPr>
        <w:tab/>
      </w:r>
      <w:r>
        <w:rPr>
          <w:color w:val="231F20"/>
          <w:spacing w:val="-2"/>
        </w:rPr>
        <w:t>owning</w:t>
      </w:r>
      <w:r>
        <w:rPr>
          <w:color w:val="231F20"/>
        </w:rPr>
        <w:tab/>
      </w:r>
      <w:r>
        <w:rPr>
          <w:color w:val="231F20"/>
          <w:spacing w:val="-10"/>
        </w:rPr>
        <w:t>a</w:t>
      </w:r>
      <w:r>
        <w:rPr>
          <w:color w:val="231F20"/>
        </w:rPr>
        <w:tab/>
      </w:r>
      <w:r>
        <w:rPr>
          <w:color w:val="231F20"/>
          <w:spacing w:val="-2"/>
        </w:rPr>
        <w:t>home,</w:t>
      </w:r>
      <w:r>
        <w:rPr>
          <w:color w:val="231F20"/>
        </w:rPr>
        <w:tab/>
      </w:r>
      <w:r>
        <w:rPr>
          <w:color w:val="231F20"/>
          <w:spacing w:val="-4"/>
        </w:rPr>
        <w:t>your</w:t>
      </w:r>
      <w:r>
        <w:rPr>
          <w:color w:val="231F20"/>
        </w:rPr>
        <w:tab/>
      </w:r>
      <w:r>
        <w:rPr>
          <w:color w:val="231F20"/>
          <w:spacing w:val="-2"/>
        </w:rPr>
        <w:t>income</w:t>
      </w:r>
      <w:r>
        <w:rPr>
          <w:color w:val="231F20"/>
        </w:rPr>
        <w:tab/>
      </w:r>
      <w:r>
        <w:rPr>
          <w:color w:val="231F20"/>
          <w:spacing w:val="-4"/>
        </w:rPr>
        <w:t>tax </w:t>
      </w:r>
      <w:r>
        <w:rPr>
          <w:color w:val="231F20"/>
        </w:rPr>
        <w:t>reporting</w:t>
      </w:r>
      <w:r>
        <w:rPr>
          <w:color w:val="231F20"/>
          <w:spacing w:val="19"/>
        </w:rPr>
        <w:t> </w:t>
      </w:r>
      <w:r>
        <w:rPr>
          <w:color w:val="231F20"/>
        </w:rPr>
        <w:t>deductions</w:t>
      </w:r>
      <w:r>
        <w:rPr>
          <w:color w:val="231F20"/>
          <w:spacing w:val="19"/>
        </w:rPr>
        <w:t> </w:t>
      </w:r>
      <w:r>
        <w:rPr>
          <w:color w:val="231F20"/>
        </w:rPr>
        <w:t>arise</w:t>
      </w:r>
      <w:r>
        <w:rPr>
          <w:color w:val="231F20"/>
          <w:spacing w:val="19"/>
        </w:rPr>
        <w:t> </w:t>
      </w:r>
      <w:r>
        <w:rPr>
          <w:color w:val="231F20"/>
        </w:rPr>
        <w:t>out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three</w:t>
      </w:r>
      <w:r>
        <w:rPr>
          <w:color w:val="231F20"/>
          <w:spacing w:val="19"/>
        </w:rPr>
        <w:t> </w:t>
      </w:r>
      <w:r>
        <w:rPr>
          <w:color w:val="231F20"/>
        </w:rPr>
        <w:t>types</w:t>
      </w:r>
      <w:r>
        <w:rPr>
          <w:color w:val="231F20"/>
          <w:spacing w:val="20"/>
        </w:rPr>
        <w:t> </w:t>
      </w:r>
      <w:r>
        <w:rPr>
          <w:color w:val="231F20"/>
          <w:spacing w:val="-5"/>
        </w:rPr>
        <w:t>of</w:t>
      </w:r>
    </w:p>
    <w:p>
      <w:pPr>
        <w:pStyle w:val="BodyText"/>
        <w:ind w:left="721"/>
      </w:pPr>
      <w:r>
        <w:rPr>
          <w:color w:val="231F20"/>
          <w:spacing w:val="-2"/>
        </w:rPr>
        <w:t>expenditures: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  <w:tab w:pos="1171" w:val="left" w:leader="none"/>
        </w:tabs>
        <w:spacing w:line="240" w:lineRule="auto" w:before="91" w:after="0"/>
        <w:ind w:left="1171" w:right="0" w:hanging="271"/>
        <w:jc w:val="left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interest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paid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on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your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purchase-assist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and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equity </w:t>
      </w:r>
      <w:r>
        <w:rPr>
          <w:color w:val="231F20"/>
          <w:spacing w:val="-2"/>
          <w:sz w:val="21"/>
        </w:rPr>
        <w:t>mortgages;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  <w:tab w:pos="1171" w:val="left" w:leader="none"/>
        </w:tabs>
        <w:spacing w:line="240" w:lineRule="auto" w:before="90" w:after="0"/>
        <w:ind w:left="1171" w:right="1" w:hanging="271"/>
        <w:jc w:val="left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premiums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paid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on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mortgage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insurance</w:t>
      </w:r>
      <w:r>
        <w:rPr>
          <w:color w:val="231F20"/>
          <w:spacing w:val="40"/>
          <w:sz w:val="21"/>
        </w:rPr>
        <w:t> </w:t>
      </w:r>
      <w:r>
        <w:rPr>
          <w:color w:val="231F20"/>
          <w:sz w:val="21"/>
        </w:rPr>
        <w:t>(MI) when your down payment is less than 20%; and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  <w:tab w:pos="1171" w:val="left" w:leader="none"/>
        </w:tabs>
        <w:spacing w:line="240" w:lineRule="auto" w:before="90" w:after="0"/>
        <w:ind w:left="1171" w:right="1" w:hanging="271"/>
        <w:jc w:val="left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33"/>
          <w:sz w:val="21"/>
        </w:rPr>
        <w:t> </w:t>
      </w:r>
      <w:r>
        <w:rPr>
          <w:color w:val="231F20"/>
          <w:sz w:val="21"/>
        </w:rPr>
        <w:t>property</w:t>
      </w:r>
      <w:r>
        <w:rPr>
          <w:color w:val="231F20"/>
          <w:spacing w:val="33"/>
          <w:sz w:val="21"/>
        </w:rPr>
        <w:t> </w:t>
      </w:r>
      <w:r>
        <w:rPr>
          <w:color w:val="231F20"/>
          <w:sz w:val="21"/>
        </w:rPr>
        <w:t>taxes</w:t>
      </w:r>
      <w:r>
        <w:rPr>
          <w:color w:val="231F20"/>
          <w:spacing w:val="33"/>
          <w:sz w:val="21"/>
        </w:rPr>
        <w:t> </w:t>
      </w:r>
      <w:r>
        <w:rPr>
          <w:color w:val="231F20"/>
          <w:sz w:val="21"/>
        </w:rPr>
        <w:t>and</w:t>
      </w:r>
      <w:r>
        <w:rPr>
          <w:color w:val="231F20"/>
          <w:spacing w:val="33"/>
          <w:sz w:val="21"/>
        </w:rPr>
        <w:t> </w:t>
      </w:r>
      <w:r>
        <w:rPr>
          <w:color w:val="231F20"/>
          <w:sz w:val="21"/>
        </w:rPr>
        <w:t>bonded</w:t>
      </w:r>
      <w:r>
        <w:rPr>
          <w:color w:val="231F20"/>
          <w:spacing w:val="33"/>
          <w:sz w:val="21"/>
        </w:rPr>
        <w:t> </w:t>
      </w:r>
      <w:r>
        <w:rPr>
          <w:color w:val="231F20"/>
          <w:sz w:val="21"/>
        </w:rPr>
        <w:t>assessments</w:t>
      </w:r>
      <w:r>
        <w:rPr>
          <w:color w:val="231F20"/>
          <w:spacing w:val="33"/>
          <w:sz w:val="21"/>
        </w:rPr>
        <w:t> </w:t>
      </w:r>
      <w:r>
        <w:rPr>
          <w:color w:val="231F20"/>
          <w:sz w:val="21"/>
        </w:rPr>
        <w:t>you pay on the home.</w:t>
      </w:r>
    </w:p>
    <w:p>
      <w:pPr>
        <w:pStyle w:val="BodyText"/>
        <w:spacing w:before="180"/>
        <w:ind w:left="721"/>
        <w:jc w:val="both"/>
      </w:pPr>
      <w:r>
        <w:rPr>
          <w:color w:val="231F20"/>
        </w:rPr>
        <w:t>Federal housing policy by design uses the tax code to encourage</w:t>
      </w:r>
      <w:r>
        <w:rPr>
          <w:color w:val="231F20"/>
          <w:spacing w:val="-15"/>
        </w:rPr>
        <w:t> </w:t>
      </w:r>
      <w:r>
        <w:rPr>
          <w:color w:val="231F20"/>
        </w:rPr>
        <w:t>leveraged</w:t>
      </w:r>
      <w:r>
        <w:rPr>
          <w:color w:val="231F20"/>
          <w:spacing w:val="-15"/>
        </w:rPr>
        <w:t> </w:t>
      </w:r>
      <w:r>
        <w:rPr>
          <w:color w:val="231F20"/>
        </w:rPr>
        <w:t>homeownership.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code</w:t>
      </w:r>
      <w:r>
        <w:rPr>
          <w:color w:val="231F20"/>
          <w:spacing w:val="-14"/>
        </w:rPr>
        <w:t> </w:t>
      </w:r>
      <w:r>
        <w:rPr>
          <w:color w:val="231F20"/>
        </w:rPr>
        <w:t>permits a personal deduction for interest paid on mortgage debt incurred to acquire a home for your family use — called the mortgage interest deduction (MID). You are allowed to reduce your federal and state income taxes by use of the MID when you finance the purchase of a principal residence or vacation (second) home. You may deduct interest accrued and paid on: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90" w:after="0"/>
        <w:ind w:left="1170" w:right="0" w:hanging="269"/>
        <w:jc w:val="both"/>
        <w:rPr>
          <w:sz w:val="21"/>
        </w:rPr>
      </w:pPr>
      <w:r>
        <w:rPr>
          <w:color w:val="231F20"/>
          <w:sz w:val="21"/>
        </w:rPr>
        <w:t>purchase</w:t>
      </w:r>
      <w:r>
        <w:rPr>
          <w:color w:val="231F20"/>
          <w:spacing w:val="51"/>
          <w:sz w:val="21"/>
        </w:rPr>
        <w:t>  </w:t>
      </w:r>
      <w:r>
        <w:rPr>
          <w:color w:val="231F20"/>
          <w:sz w:val="21"/>
        </w:rPr>
        <w:t>or</w:t>
      </w:r>
      <w:r>
        <w:rPr>
          <w:color w:val="231F20"/>
          <w:spacing w:val="51"/>
          <w:sz w:val="21"/>
        </w:rPr>
        <w:t>  </w:t>
      </w:r>
      <w:r>
        <w:rPr>
          <w:color w:val="231F20"/>
          <w:sz w:val="21"/>
        </w:rPr>
        <w:t>improvement</w:t>
      </w:r>
      <w:r>
        <w:rPr>
          <w:color w:val="231F20"/>
          <w:spacing w:val="51"/>
          <w:sz w:val="21"/>
        </w:rPr>
        <w:t>  </w:t>
      </w:r>
      <w:r>
        <w:rPr>
          <w:color w:val="231F20"/>
          <w:sz w:val="21"/>
        </w:rPr>
        <w:t>mortgages</w:t>
      </w:r>
      <w:r>
        <w:rPr>
          <w:color w:val="231F20"/>
          <w:spacing w:val="51"/>
          <w:sz w:val="21"/>
        </w:rPr>
        <w:t>  </w:t>
      </w:r>
      <w:r>
        <w:rPr>
          <w:color w:val="231F20"/>
          <w:sz w:val="21"/>
        </w:rPr>
        <w:t>up</w:t>
      </w:r>
      <w:r>
        <w:rPr>
          <w:color w:val="231F20"/>
          <w:spacing w:val="51"/>
          <w:sz w:val="21"/>
        </w:rPr>
        <w:t>  </w:t>
      </w:r>
      <w:r>
        <w:rPr>
          <w:color w:val="231F20"/>
          <w:spacing w:val="-5"/>
          <w:sz w:val="21"/>
        </w:rPr>
        <w:t>to</w:t>
      </w:r>
    </w:p>
    <w:p>
      <w:pPr>
        <w:pStyle w:val="BodyText"/>
        <w:ind w:left="1171"/>
        <w:jc w:val="both"/>
      </w:pPr>
      <w:r>
        <w:rPr>
          <w:color w:val="231F20"/>
        </w:rPr>
        <w:t>$1,000,000</w:t>
      </w:r>
      <w:r>
        <w:rPr>
          <w:color w:val="231F20"/>
          <w:spacing w:val="-5"/>
        </w:rPr>
        <w:t> </w:t>
      </w:r>
      <w:r>
        <w:rPr>
          <w:color w:val="231F20"/>
        </w:rPr>
        <w:t>principal;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and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90" w:after="0"/>
        <w:ind w:left="1170" w:right="0" w:hanging="269"/>
        <w:jc w:val="both"/>
        <w:rPr>
          <w:sz w:val="21"/>
        </w:rPr>
      </w:pPr>
      <w:r>
        <w:rPr>
          <w:color w:val="231F20"/>
          <w:sz w:val="21"/>
        </w:rPr>
        <w:t>home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equity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mortgages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up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to</w:t>
      </w:r>
      <w:r>
        <w:rPr>
          <w:color w:val="231F20"/>
          <w:spacing w:val="-2"/>
          <w:sz w:val="21"/>
        </w:rPr>
        <w:t> </w:t>
      </w:r>
      <w:r>
        <w:rPr>
          <w:color w:val="231F20"/>
          <w:sz w:val="21"/>
        </w:rPr>
        <w:t>$100,000</w:t>
      </w:r>
      <w:r>
        <w:rPr>
          <w:color w:val="231F20"/>
          <w:spacing w:val="-2"/>
          <w:sz w:val="21"/>
        </w:rPr>
        <w:t> principal.</w:t>
      </w:r>
    </w:p>
    <w:p>
      <w:pPr>
        <w:pStyle w:val="BodyText"/>
        <w:spacing w:before="180"/>
        <w:ind w:left="721" w:right="1"/>
        <w:jc w:val="both"/>
      </w:pPr>
      <w:r>
        <w:rPr>
          <w:color w:val="231F20"/>
        </w:rPr>
        <w:t>Ownership of a personal residence and second home allows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51"/>
        </w:rPr>
        <w:t> </w:t>
      </w:r>
      <w:r>
        <w:rPr>
          <w:color w:val="231F20"/>
        </w:rPr>
        <w:t>itemize</w:t>
      </w:r>
      <w:r>
        <w:rPr>
          <w:color w:val="231F20"/>
          <w:spacing w:val="51"/>
        </w:rPr>
        <w:t> </w:t>
      </w:r>
      <w:r>
        <w:rPr>
          <w:color w:val="231F20"/>
        </w:rPr>
        <w:t>accrued</w:t>
      </w:r>
      <w:r>
        <w:rPr>
          <w:color w:val="231F20"/>
          <w:spacing w:val="51"/>
        </w:rPr>
        <w:t> </w:t>
      </w:r>
      <w:r>
        <w:rPr>
          <w:color w:val="231F20"/>
        </w:rPr>
        <w:t>mortgage</w:t>
      </w:r>
      <w:r>
        <w:rPr>
          <w:color w:val="231F20"/>
          <w:spacing w:val="51"/>
        </w:rPr>
        <w:t> </w:t>
      </w:r>
      <w:r>
        <w:rPr>
          <w:color w:val="231F20"/>
        </w:rPr>
        <w:t>interest</w:t>
      </w:r>
      <w:r>
        <w:rPr>
          <w:color w:val="231F20"/>
          <w:spacing w:val="51"/>
        </w:rPr>
        <w:t> </w:t>
      </w:r>
      <w:r>
        <w:rPr>
          <w:color w:val="231F20"/>
          <w:spacing w:val="-5"/>
        </w:rPr>
        <w:t>you</w:t>
      </w:r>
    </w:p>
    <w:p>
      <w:pPr>
        <w:pStyle w:val="BodyText"/>
        <w:spacing w:before="94"/>
        <w:ind w:left="319" w:right="717"/>
        <w:jc w:val="both"/>
      </w:pPr>
      <w:r>
        <w:rPr/>
        <w:br w:type="column"/>
      </w:r>
      <w:r>
        <w:rPr>
          <w:color w:val="231F20"/>
        </w:rPr>
        <w:t>have paid and deduct the amounts from your adjusted gross</w:t>
      </w:r>
      <w:r>
        <w:rPr>
          <w:color w:val="231F20"/>
          <w:spacing w:val="-5"/>
        </w:rPr>
        <w:t> </w:t>
      </w:r>
      <w:r>
        <w:rPr>
          <w:color w:val="231F20"/>
        </w:rPr>
        <w:t>income</w:t>
      </w:r>
      <w:r>
        <w:rPr>
          <w:color w:val="231F20"/>
          <w:spacing w:val="-5"/>
        </w:rPr>
        <w:t> </w:t>
      </w:r>
      <w:r>
        <w:rPr>
          <w:color w:val="231F20"/>
        </w:rPr>
        <w:t>(AGI),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limitations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wealthy. The</w:t>
      </w:r>
      <w:r>
        <w:rPr>
          <w:color w:val="231F20"/>
          <w:spacing w:val="-6"/>
        </w:rPr>
        <w:t> </w:t>
      </w:r>
      <w:r>
        <w:rPr>
          <w:color w:val="231F20"/>
        </w:rPr>
        <w:t>amount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tax</w:t>
      </w:r>
      <w:r>
        <w:rPr>
          <w:color w:val="231F20"/>
          <w:spacing w:val="-6"/>
        </w:rPr>
        <w:t> </w:t>
      </w:r>
      <w:r>
        <w:rPr>
          <w:color w:val="231F20"/>
        </w:rPr>
        <w:t>reduction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based</w:t>
      </w:r>
      <w:r>
        <w:rPr>
          <w:color w:val="231F20"/>
          <w:spacing w:val="-6"/>
        </w:rPr>
        <w:t> </w:t>
      </w:r>
      <w:r>
        <w:rPr>
          <w:color w:val="231F20"/>
        </w:rPr>
        <w:t>on the amount of your AGI and tax bracket.</w:t>
      </w:r>
    </w:p>
    <w:p>
      <w:pPr>
        <w:pStyle w:val="BodyText"/>
        <w:spacing w:before="180"/>
        <w:ind w:left="319" w:right="716"/>
        <w:jc w:val="both"/>
      </w:pPr>
      <w:r>
        <w:rPr>
          <w:color w:val="231F20"/>
        </w:rPr>
        <w:t>When</w:t>
      </w:r>
      <w:r>
        <w:rPr>
          <w:color w:val="231F20"/>
          <w:spacing w:val="-15"/>
        </w:rPr>
        <w:t> </w:t>
      </w:r>
      <w:r>
        <w:rPr>
          <w:color w:val="231F20"/>
        </w:rPr>
        <w:t>financing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purchase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your</w:t>
      </w:r>
      <w:r>
        <w:rPr>
          <w:color w:val="231F20"/>
          <w:spacing w:val="-15"/>
        </w:rPr>
        <w:t> </w:t>
      </w:r>
      <w:r>
        <w:rPr>
          <w:color w:val="231F20"/>
        </w:rPr>
        <w:t>principal</w:t>
      </w:r>
      <w:r>
        <w:rPr>
          <w:color w:val="231F20"/>
          <w:spacing w:val="-15"/>
        </w:rPr>
        <w:t> </w:t>
      </w:r>
      <w:r>
        <w:rPr>
          <w:color w:val="231F20"/>
        </w:rPr>
        <w:t>residence, loan</w:t>
      </w:r>
      <w:r>
        <w:rPr>
          <w:color w:val="231F20"/>
          <w:spacing w:val="-11"/>
        </w:rPr>
        <w:t> </w:t>
      </w:r>
      <w:r>
        <w:rPr>
          <w:color w:val="231F20"/>
        </w:rPr>
        <w:t>points</w:t>
      </w:r>
      <w:r>
        <w:rPr>
          <w:color w:val="231F20"/>
          <w:spacing w:val="-11"/>
        </w:rPr>
        <w:t> </w:t>
      </w:r>
      <w:r>
        <w:rPr>
          <w:color w:val="231F20"/>
        </w:rPr>
        <w:t>(origination</w:t>
      </w:r>
      <w:r>
        <w:rPr>
          <w:color w:val="231F20"/>
          <w:spacing w:val="-11"/>
        </w:rPr>
        <w:t> </w:t>
      </w:r>
      <w:r>
        <w:rPr>
          <w:color w:val="231F20"/>
        </w:rPr>
        <w:t>fees)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MI</w:t>
      </w:r>
      <w:r>
        <w:rPr>
          <w:color w:val="231F20"/>
          <w:spacing w:val="-11"/>
        </w:rPr>
        <w:t> </w:t>
      </w:r>
      <w:r>
        <w:rPr>
          <w:color w:val="231F20"/>
        </w:rPr>
        <w:t>you</w:t>
      </w:r>
      <w:r>
        <w:rPr>
          <w:color w:val="231F20"/>
          <w:spacing w:val="-11"/>
        </w:rPr>
        <w:t> </w:t>
      </w:r>
      <w:r>
        <w:rPr>
          <w:color w:val="231F20"/>
        </w:rPr>
        <w:t>or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seller</w:t>
      </w:r>
      <w:r>
        <w:rPr>
          <w:color w:val="231F20"/>
          <w:spacing w:val="-11"/>
        </w:rPr>
        <w:t> </w:t>
      </w:r>
      <w:r>
        <w:rPr>
          <w:color w:val="231F20"/>
        </w:rPr>
        <w:t>pay to originate the mortgage are a type of interest payment you also itemize and deduct from your AGI. All other lender closing charges are non-recurring costs that are part of the cost of acquisition of your home and may not be written off as a deductible expense.</w:t>
      </w:r>
    </w:p>
    <w:p>
      <w:pPr>
        <w:pStyle w:val="BodyText"/>
        <w:spacing w:before="180"/>
        <w:ind w:left="319" w:right="717"/>
        <w:jc w:val="both"/>
      </w:pPr>
      <w:r>
        <w:rPr>
          <w:color w:val="231F20"/>
        </w:rPr>
        <w:t>Property</w:t>
      </w:r>
      <w:r>
        <w:rPr>
          <w:color w:val="231F20"/>
          <w:spacing w:val="-5"/>
        </w:rPr>
        <w:t> </w:t>
      </w:r>
      <w:r>
        <w:rPr>
          <w:color w:val="231F20"/>
        </w:rPr>
        <w:t>taxes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based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home’s</w:t>
      </w:r>
      <w:r>
        <w:rPr>
          <w:color w:val="231F20"/>
          <w:spacing w:val="-5"/>
        </w:rPr>
        <w:t> </w:t>
      </w:r>
      <w:r>
        <w:rPr>
          <w:color w:val="231F20"/>
        </w:rPr>
        <w:t>assessed value are also itemized and deducted from your AGI to further reduce your income taxes. Deductible property taxes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often</w:t>
      </w:r>
      <w:r>
        <w:rPr>
          <w:color w:val="231F20"/>
          <w:spacing w:val="-6"/>
        </w:rPr>
        <w:t> </w:t>
      </w:r>
      <w:r>
        <w:rPr>
          <w:color w:val="231F20"/>
        </w:rPr>
        <w:t>prepaid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closing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reimburse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seller for the portion they paid that accrues after the date you acquire ownership. Any supplemental property taxes paid due to reassessment are also deductible.</w:t>
      </w:r>
    </w:p>
    <w:p>
      <w:pPr>
        <w:pStyle w:val="BodyText"/>
        <w:spacing w:before="180"/>
        <w:ind w:left="319" w:right="717"/>
        <w:jc w:val="both"/>
      </w:pPr>
      <w:r>
        <w:rPr>
          <w:color w:val="231F20"/>
        </w:rPr>
        <w:t>Annually, you itemize and deduct each year’s property taxes paid on the home whether paid directly by you or indirectly through the lender under an impound account </w:t>
      </w:r>
      <w:r>
        <w:rPr>
          <w:color w:val="231F20"/>
          <w:spacing w:val="-2"/>
        </w:rPr>
        <w:t>arrangement.</w:t>
      </w:r>
    </w:p>
    <w:p>
      <w:pPr>
        <w:spacing w:after="0"/>
        <w:jc w:val="both"/>
        <w:sectPr>
          <w:type w:val="continuous"/>
          <w:pgSz w:w="12240" w:h="15840"/>
          <w:pgMar w:top="0" w:bottom="280" w:left="0" w:right="0"/>
          <w:cols w:num="2" w:equalWidth="0">
            <w:col w:w="5942" w:space="40"/>
            <w:col w:w="6258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7785100" cy="31457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85100" cy="3145790"/>
                          <a:chExt cx="7785100" cy="314579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7772387" cy="3145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950975"/>
                            <a:ext cx="7772400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5382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3311"/>
                                </a:lnTo>
                                <a:lnTo>
                                  <a:pt x="7772400" y="135331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950975"/>
                            <a:ext cx="7772400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53820">
                                <a:moveTo>
                                  <a:pt x="0" y="1353311"/>
                                </a:moveTo>
                                <a:lnTo>
                                  <a:pt x="7772400" y="1353311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33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D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2146300"/>
                            <a:ext cx="777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1104900"/>
                            <a:ext cx="777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0pt;width:613pt;height:247.7pt;mso-position-horizontal-relative:page;mso-position-vertical-relative:page;z-index:-15773184" id="docshapegroup3" coordorigin="-10,0" coordsize="12260,4954">
                <v:shape style="position:absolute;left:0;top:0;width:12240;height:4954" type="#_x0000_t75" id="docshape4" stroked="false">
                  <v:imagedata r:id="rId5" o:title=""/>
                </v:shape>
                <v:rect style="position:absolute;left:0;top:1497;width:12240;height:2132" id="docshape5" filled="true" fillcolor="#009d96" stroked="false">
                  <v:fill type="solid"/>
                </v:rect>
                <v:rect style="position:absolute;left:0;top:1497;width:12240;height:2132" id="docshape6" filled="false" stroked="true" strokeweight="1pt" strokecolor="#009d96">
                  <v:stroke dashstyle="solid"/>
                </v:rect>
                <v:line style="position:absolute" from="0,3380" to="12240,3380" stroked="true" strokeweight="4pt" strokecolor="#ffffff">
                  <v:stroke dashstyle="dot"/>
                </v:line>
                <v:line style="position:absolute" from="0,1740" to="12240,1740" stroked="true" strokeweight="4pt" strokecolor="#ffffff">
                  <v:stroke dashstyle="dot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</w:p>
    <w:p>
      <w:pPr>
        <w:spacing w:line="249" w:lineRule="auto" w:before="0"/>
        <w:ind w:left="1396" w:right="89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39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5689014</wp:posOffset>
            </wp:positionH>
            <wp:positionV relativeFrom="paragraph">
              <wp:posOffset>97817</wp:posOffset>
            </wp:positionV>
            <wp:extent cx="600807" cy="69290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39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398" w:right="598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784024</wp:posOffset>
                </wp:positionV>
                <wp:extent cx="777240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009D96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.0pt,61.734211pt" to="612.0pt,61.734211pt" stroked="true" strokeweight="4pt" strokecolor="#009d96">
                <v:stroke dashstyle="dot"/>
                <w10:wrap type="none"/>
              </v:line>
            </w:pict>
          </mc:Fallback>
        </mc:AlternateContent>
      </w: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71" w:hanging="271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2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8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4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6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3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9" w:hanging="2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10" w:lineRule="exact"/>
    </w:pPr>
    <w:rPr>
      <w:rFonts w:ascii="Arial" w:hAnsi="Arial" w:eastAsia="Arial" w:cs="Arial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171" w:hanging="27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2024-09-08T23:26:41Z</dcterms:created>
  <dcterms:modified xsi:type="dcterms:W3CDTF">2024-09-08T23:26:41Z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