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2192020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192020"/>
                          <a:chExt cx="6858000" cy="21920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19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192020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322971"/>
                                </a:lnTo>
                                <a:lnTo>
                                  <a:pt x="0" y="2192020"/>
                                </a:lnTo>
                                <a:lnTo>
                                  <a:pt x="2172614" y="2192020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192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88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1"/>
                                <w:ind w:left="1941" w:right="4373" w:firstLine="299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an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impound</w:t>
                              </w:r>
                            </w:p>
                            <w:p>
                              <w:pPr>
                                <w:spacing w:before="3"/>
                                <w:ind w:left="131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account?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72.6pt;mso-position-horizontal-relative:char;mso-position-vertical-relative:line" id="docshapegroup1" coordorigin="0,0" coordsize="10800,3452">
                <v:shape style="position:absolute;left:0;top:0;width:10800;height:3452" type="#_x0000_t75" id="docshape2" stroked="false">
                  <v:imagedata r:id="rId5" o:title=""/>
                </v:shape>
                <v:shape style="position:absolute;left:0;top:0;width:6927;height:3452" id="docshape3" coordorigin="0,0" coordsize="6927,3452" path="m6926,0l2376,0,0,2083,0,3452,3421,3452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345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88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1"/>
                          <w:ind w:left="1941" w:right="4373" w:firstLine="299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an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impound</w:t>
                        </w:r>
                      </w:p>
                      <w:p>
                        <w:pPr>
                          <w:spacing w:before="3"/>
                          <w:ind w:left="1314" w:right="0" w:firstLine="0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account?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47"/>
        <w:ind w:left="0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BodyText"/>
        <w:spacing w:before="94"/>
        <w:ind w:left="796" w:right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458216</wp:posOffset>
                </wp:positionH>
                <wp:positionV relativeFrom="paragraph">
                  <wp:posOffset>25334</wp:posOffset>
                </wp:positionV>
                <wp:extent cx="349885" cy="3702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994871pt;width:27.55pt;height:29.15pt;mso-position-horizontal-relative:page;mso-position-vertical-relative:paragraph;z-index:-15767040" type="#_x0000_t202" id="docshape5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An </w:t>
      </w:r>
      <w:r>
        <w:rPr>
          <w:b/>
          <w:color w:val="231F20"/>
        </w:rPr>
        <w:t>impound account</w:t>
      </w:r>
      <w:r>
        <w:rPr>
          <w:color w:val="231F20"/>
        </w:rPr>
        <w:t>, also know as an escrow account,</w:t>
      </w:r>
      <w:r>
        <w:rPr>
          <w:color w:val="231F20"/>
          <w:spacing w:val="43"/>
        </w:rPr>
        <w:t> </w:t>
      </w:r>
      <w:r>
        <w:rPr>
          <w:color w:val="231F20"/>
        </w:rPr>
        <w:t>is</w:t>
      </w:r>
      <w:r>
        <w:rPr>
          <w:color w:val="231F20"/>
          <w:spacing w:val="45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</w:rPr>
        <w:t>money</w:t>
      </w:r>
      <w:r>
        <w:rPr>
          <w:color w:val="231F20"/>
          <w:spacing w:val="45"/>
        </w:rPr>
        <w:t> </w:t>
      </w:r>
      <w:r>
        <w:rPr>
          <w:color w:val="231F20"/>
        </w:rPr>
        <w:t>reserve</w:t>
      </w:r>
      <w:r>
        <w:rPr>
          <w:color w:val="231F20"/>
          <w:spacing w:val="46"/>
        </w:rPr>
        <w:t> </w:t>
      </w:r>
      <w:r>
        <w:rPr>
          <w:color w:val="231F20"/>
        </w:rPr>
        <w:t>funded</w:t>
      </w:r>
      <w:r>
        <w:rPr>
          <w:color w:val="231F20"/>
          <w:spacing w:val="45"/>
        </w:rPr>
        <w:t> </w:t>
      </w:r>
      <w:r>
        <w:rPr>
          <w:color w:val="231F20"/>
        </w:rPr>
        <w:t>monthly</w:t>
      </w:r>
      <w:r>
        <w:rPr>
          <w:color w:val="231F20"/>
          <w:spacing w:val="46"/>
        </w:rPr>
        <w:t> </w:t>
      </w:r>
      <w:r>
        <w:rPr>
          <w:color w:val="231F20"/>
          <w:spacing w:val="-5"/>
        </w:rPr>
        <w:t>by</w:t>
      </w:r>
    </w:p>
    <w:p>
      <w:pPr>
        <w:pStyle w:val="BodyText"/>
        <w:spacing w:before="0"/>
        <w:ind w:right="38"/>
      </w:pP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pay</w:t>
      </w:r>
      <w:r>
        <w:rPr>
          <w:color w:val="231F20"/>
          <w:spacing w:val="-2"/>
        </w:rPr>
        <w:t> </w:t>
      </w:r>
      <w:r>
        <w:rPr>
          <w:color w:val="231F20"/>
        </w:rPr>
        <w:t>annual</w:t>
      </w:r>
      <w:r>
        <w:rPr>
          <w:color w:val="231F20"/>
          <w:spacing w:val="-2"/>
        </w:rPr>
        <w:t> </w:t>
      </w:r>
      <w:r>
        <w:rPr>
          <w:color w:val="231F20"/>
        </w:rPr>
        <w:t>recurring</w:t>
      </w:r>
      <w:r>
        <w:rPr>
          <w:color w:val="231F20"/>
          <w:spacing w:val="-1"/>
        </w:rPr>
        <w:t> </w:t>
      </w:r>
      <w:r>
        <w:rPr>
          <w:color w:val="231F20"/>
        </w:rPr>
        <w:t>ownership</w:t>
      </w:r>
      <w:r>
        <w:rPr>
          <w:color w:val="231F20"/>
          <w:spacing w:val="-1"/>
        </w:rPr>
        <w:t> </w:t>
      </w:r>
      <w:r>
        <w:rPr>
          <w:color w:val="231F20"/>
        </w:rPr>
        <w:t>obligations</w:t>
      </w:r>
      <w:r>
        <w:rPr>
          <w:color w:val="231F20"/>
          <w:spacing w:val="-1"/>
        </w:rPr>
        <w:t> </w:t>
      </w:r>
      <w:r>
        <w:rPr>
          <w:color w:val="231F20"/>
        </w:rPr>
        <w:t>together with payments of principal and interest (PI) through your mortgage</w:t>
      </w:r>
      <w:r>
        <w:rPr>
          <w:color w:val="231F20"/>
          <w:spacing w:val="-14"/>
        </w:rPr>
        <w:t> </w:t>
      </w:r>
      <w:r>
        <w:rPr>
          <w:color w:val="231F20"/>
        </w:rPr>
        <w:t>payments.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impound</w:t>
      </w:r>
      <w:r>
        <w:rPr>
          <w:color w:val="231F20"/>
          <w:spacing w:val="-14"/>
        </w:rPr>
        <w:t> </w:t>
      </w:r>
      <w:r>
        <w:rPr>
          <w:color w:val="231F20"/>
        </w:rPr>
        <w:t>account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maintained</w:t>
      </w:r>
      <w:r>
        <w:rPr>
          <w:color w:val="231F20"/>
          <w:spacing w:val="-14"/>
        </w:rPr>
        <w:t> </w:t>
      </w:r>
      <w:r>
        <w:rPr>
          <w:color w:val="231F20"/>
        </w:rPr>
        <w:t>by your lender to pay your annual property taxes and hazard insurance premium (TI).</w:t>
      </w:r>
    </w:p>
    <w:p>
      <w:pPr>
        <w:pStyle w:val="BodyText"/>
        <w:ind w:right="38"/>
      </w:pPr>
      <w:r>
        <w:rPr>
          <w:color w:val="231F20"/>
        </w:rPr>
        <w:t>Payment from an impound account ensures your lender’s security interest in your property will not be impaired by defaults in your payment of TI obligations.</w:t>
      </w:r>
    </w:p>
    <w:p>
      <w:pPr>
        <w:pStyle w:val="BodyText"/>
        <w:ind w:right="38"/>
      </w:pPr>
      <w:r>
        <w:rPr>
          <w:color w:val="231F20"/>
        </w:rPr>
        <w:t>An</w:t>
      </w:r>
      <w:r>
        <w:rPr>
          <w:color w:val="231F20"/>
          <w:spacing w:val="-14"/>
        </w:rPr>
        <w:t> </w:t>
      </w:r>
      <w:r>
        <w:rPr>
          <w:color w:val="231F20"/>
        </w:rPr>
        <w:t>impound</w:t>
      </w:r>
      <w:r>
        <w:rPr>
          <w:color w:val="231F20"/>
          <w:spacing w:val="-14"/>
        </w:rPr>
        <w:t> </w:t>
      </w:r>
      <w:r>
        <w:rPr>
          <w:color w:val="231F20"/>
        </w:rPr>
        <w:t>account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created</w:t>
      </w:r>
      <w:r>
        <w:rPr>
          <w:color w:val="231F20"/>
          <w:spacing w:val="-14"/>
        </w:rPr>
        <w:t> </w:t>
      </w:r>
      <w:r>
        <w:rPr>
          <w:color w:val="231F20"/>
        </w:rPr>
        <w:t>when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4"/>
        </w:rPr>
        <w:t> </w:t>
      </w:r>
      <w:r>
        <w:rPr>
          <w:color w:val="231F20"/>
        </w:rPr>
        <w:t>agree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terms of</w:t>
      </w:r>
      <w:r>
        <w:rPr>
          <w:color w:val="231F20"/>
          <w:spacing w:val="-11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impound</w:t>
      </w:r>
      <w:r>
        <w:rPr>
          <w:color w:val="231F20"/>
          <w:spacing w:val="-11"/>
        </w:rPr>
        <w:t> </w:t>
      </w:r>
      <w:r>
        <w:rPr>
          <w:color w:val="231F20"/>
        </w:rPr>
        <w:t>account</w:t>
      </w:r>
      <w:r>
        <w:rPr>
          <w:color w:val="231F20"/>
          <w:spacing w:val="-11"/>
        </w:rPr>
        <w:t> </w:t>
      </w:r>
      <w:r>
        <w:rPr>
          <w:color w:val="231F20"/>
        </w:rPr>
        <w:t>addendum</w:t>
      </w:r>
      <w:r>
        <w:rPr>
          <w:color w:val="231F20"/>
          <w:spacing w:val="-11"/>
        </w:rPr>
        <w:t> </w:t>
      </w:r>
      <w:r>
        <w:rPr>
          <w:color w:val="231F20"/>
        </w:rPr>
        <w:t>attached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lender’s trust deed. If not required at origination, you may request the lender set up an impound account when they provide this service.</w:t>
      </w:r>
    </w:p>
    <w:p>
      <w:pPr>
        <w:pStyle w:val="BodyText"/>
      </w:pP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impound</w:t>
      </w:r>
      <w:r>
        <w:rPr>
          <w:color w:val="231F20"/>
          <w:spacing w:val="-4"/>
        </w:rPr>
        <w:t> </w:t>
      </w:r>
      <w:r>
        <w:rPr>
          <w:color w:val="231F20"/>
        </w:rPr>
        <w:t>account</w:t>
      </w:r>
      <w:r>
        <w:rPr>
          <w:color w:val="231F20"/>
          <w:spacing w:val="-4"/>
        </w:rPr>
        <w:t> </w:t>
      </w:r>
      <w:r>
        <w:rPr>
          <w:color w:val="231F20"/>
        </w:rPr>
        <w:t>provision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establishes: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both"/>
        <w:rPr>
          <w:sz w:val="20"/>
        </w:rPr>
      </w:pPr>
      <w:r>
        <w:rPr>
          <w:i/>
          <w:color w:val="231F20"/>
          <w:sz w:val="20"/>
        </w:rPr>
        <w:t>monthly deposits </w:t>
      </w:r>
      <w:r>
        <w:rPr>
          <w:color w:val="231F20"/>
          <w:sz w:val="20"/>
        </w:rPr>
        <w:t>to be paid in amounts based on your annual TI obligations;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both"/>
        <w:rPr>
          <w:sz w:val="20"/>
        </w:rPr>
      </w:pPr>
      <w:r>
        <w:rPr>
          <w:i/>
          <w:color w:val="231F20"/>
          <w:sz w:val="20"/>
        </w:rPr>
        <w:t>reserves </w:t>
      </w:r>
      <w:r>
        <w:rPr>
          <w:color w:val="231F20"/>
          <w:sz w:val="20"/>
        </w:rPr>
        <w:t>initially deposited as prepaid installments when future monthly payments will be insufficient to cover TI obligations on their due dates;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both"/>
        <w:rPr>
          <w:sz w:val="20"/>
        </w:rPr>
      </w:pPr>
      <w:r>
        <w:rPr>
          <w:i/>
          <w:color w:val="231F20"/>
          <w:sz w:val="20"/>
        </w:rPr>
        <w:t>interest </w:t>
      </w:r>
      <w:r>
        <w:rPr>
          <w:color w:val="231F20"/>
          <w:sz w:val="20"/>
        </w:rPr>
        <w:t>to be paid to you by your lender on the impound account balance.</w:t>
      </w:r>
    </w:p>
    <w:p>
      <w:pPr>
        <w:pStyle w:val="BodyText"/>
        <w:ind w:right="38"/>
      </w:pPr>
      <w:r>
        <w:rPr>
          <w:color w:val="231F20"/>
        </w:rPr>
        <w:t>When you have an impound account, your lender will provide accountings, statements and analyses prepared and</w:t>
      </w:r>
      <w:r>
        <w:rPr>
          <w:color w:val="231F20"/>
          <w:spacing w:val="-9"/>
        </w:rPr>
        <w:t> </w:t>
      </w:r>
      <w:r>
        <w:rPr>
          <w:color w:val="231F20"/>
        </w:rPr>
        <w:t>delivered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least</w:t>
      </w:r>
      <w:r>
        <w:rPr>
          <w:color w:val="231F20"/>
          <w:spacing w:val="-9"/>
        </w:rPr>
        <w:t> </w:t>
      </w:r>
      <w:r>
        <w:rPr>
          <w:color w:val="231F20"/>
        </w:rPr>
        <w:t>once</w:t>
      </w:r>
      <w:r>
        <w:rPr>
          <w:color w:val="231F20"/>
          <w:spacing w:val="-9"/>
        </w:rPr>
        <w:t> </w:t>
      </w:r>
      <w:r>
        <w:rPr>
          <w:color w:val="231F20"/>
        </w:rPr>
        <w:t>yearly.</w:t>
      </w:r>
      <w:r>
        <w:rPr>
          <w:color w:val="231F20"/>
          <w:spacing w:val="-12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include itemizations of: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both"/>
        <w:rPr>
          <w:sz w:val="20"/>
        </w:rPr>
      </w:pPr>
      <w:r>
        <w:rPr>
          <w:i/>
          <w:color w:val="231F20"/>
          <w:spacing w:val="-2"/>
          <w:sz w:val="20"/>
        </w:rPr>
        <w:t>surpluses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when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balance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greater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than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necessary </w:t>
      </w:r>
      <w:r>
        <w:rPr>
          <w:color w:val="231F20"/>
          <w:sz w:val="20"/>
        </w:rPr>
        <w:t>to satisfy TI disbursements and reserves, which are</w:t>
      </w:r>
    </w:p>
    <w:p>
      <w:pPr>
        <w:pStyle w:val="BodyText"/>
        <w:spacing w:before="94"/>
        <w:ind w:left="641" w:right="118"/>
      </w:pPr>
      <w:r>
        <w:rPr/>
        <w:br w:type="column"/>
      </w:r>
      <w:r>
        <w:rPr>
          <w:color w:val="231F20"/>
        </w:rPr>
        <w:t>either returned to you or credited toward the next year’s impound account payments; or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117" w:hanging="270"/>
        <w:jc w:val="both"/>
        <w:rPr>
          <w:sz w:val="20"/>
        </w:rPr>
      </w:pPr>
      <w:r>
        <w:rPr>
          <w:i/>
          <w:color w:val="231F20"/>
          <w:spacing w:val="-2"/>
          <w:sz w:val="20"/>
        </w:rPr>
        <w:t>deficiencies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sz w:val="20"/>
        </w:rPr>
        <w:t>and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pacing w:val="-2"/>
          <w:sz w:val="20"/>
        </w:rPr>
        <w:t>shortages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arising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when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impound </w:t>
      </w:r>
      <w:r>
        <w:rPr>
          <w:color w:val="231F20"/>
          <w:sz w:val="20"/>
        </w:rPr>
        <w:t>account balance is insufficient to pay upcoming TI obligations or the impound account has a negative balance after a TI payment.</w:t>
      </w:r>
    </w:p>
    <w:p>
      <w:pPr>
        <w:pStyle w:val="BodyText"/>
        <w:ind w:right="117"/>
      </w:pPr>
      <w:r>
        <w:rPr>
          <w:color w:val="231F20"/>
        </w:rPr>
        <w:t>The formulas for setting initial impound account deposits, monthly TI payments and limits on reserves for </w:t>
      </w:r>
      <w:r>
        <w:rPr>
          <w:color w:val="231F20"/>
        </w:rPr>
        <w:t>any mortgage are set by California law.</w:t>
      </w:r>
    </w:p>
    <w:p>
      <w:pPr>
        <w:pStyle w:val="BodyText"/>
        <w:ind w:right="118"/>
      </w:pPr>
      <w:r>
        <w:rPr>
          <w:color w:val="231F20"/>
        </w:rPr>
        <w:t>Impound accounts are also subject to some enforcement rules. A lender: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117" w:hanging="270"/>
        <w:jc w:val="both"/>
        <w:rPr>
          <w:sz w:val="20"/>
        </w:rPr>
      </w:pPr>
      <w:r>
        <w:rPr>
          <w:color w:val="231F20"/>
          <w:sz w:val="20"/>
        </w:rPr>
        <w:t>is prohibited from requiring an impound account at origination on a first mortgage secured by an owner- occupied one-to-four unit residential property when the loan to value ratio is less than 90%;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117" w:hanging="270"/>
        <w:jc w:val="both"/>
        <w:rPr>
          <w:sz w:val="20"/>
        </w:rPr>
      </w:pPr>
      <w:r>
        <w:rPr>
          <w:color w:val="231F20"/>
          <w:sz w:val="20"/>
        </w:rPr>
        <w:t>may demand and enforce the establishment of an impound account on a mortgage secured by a one- to-four unit residential property when the owner is delinquent on two or more consecutive property tax </w:t>
      </w:r>
      <w:r>
        <w:rPr>
          <w:color w:val="231F20"/>
          <w:spacing w:val="-2"/>
          <w:sz w:val="20"/>
        </w:rPr>
        <w:t>payments.</w:t>
      </w:r>
    </w:p>
    <w:p>
      <w:pPr>
        <w:pStyle w:val="BodyText"/>
        <w:ind w:right="118"/>
      </w:pPr>
      <w:r>
        <w:rPr>
          <w:color w:val="231F20"/>
        </w:rPr>
        <w:t>Rules for terminating enforceable impound accounts vary based on the lender’s policies.</w:t>
      </w:r>
    </w:p>
    <w:p>
      <w:pPr>
        <w:pStyle w:val="BodyText"/>
        <w:ind w:right="117"/>
      </w:pPr>
      <w:r>
        <w:rPr>
          <w:color w:val="231F20"/>
          <w:spacing w:val="-2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lender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required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2%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annual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simple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interest </w:t>
      </w:r>
      <w:r>
        <w:rPr>
          <w:color w:val="231F20"/>
        </w:rPr>
        <w:t>on any balance in the impound account.</w:t>
      </w:r>
    </w:p>
    <w:p>
      <w:pPr>
        <w:pStyle w:val="BodyText"/>
        <w:ind w:right="117"/>
      </w:pPr>
      <w:r>
        <w:rPr>
          <w:color w:val="231F20"/>
        </w:rPr>
        <w:t>For </w:t>
      </w:r>
      <w:r>
        <w:rPr>
          <w:i/>
          <w:color w:val="231F20"/>
        </w:rPr>
        <w:t>business mortgages</w:t>
      </w:r>
      <w:r>
        <w:rPr>
          <w:color w:val="231F20"/>
        </w:rPr>
        <w:t>, including carryback business mortgages, impound accounts are optional requirements for the mortgage holder, but are neither common nor </w:t>
      </w:r>
      <w:r>
        <w:rPr>
          <w:color w:val="231F20"/>
          <w:spacing w:val="-2"/>
        </w:rPr>
        <w:t>compulsory.</w:t>
      </w:r>
    </w:p>
    <w:p>
      <w:pPr>
        <w:spacing w:after="0"/>
        <w:sectPr>
          <w:type w:val="continuous"/>
          <w:pgSz w:w="12240" w:h="15840"/>
          <w:pgMar w:top="720" w:bottom="280" w:left="620" w:right="600"/>
          <w:cols w:num="2" w:equalWidth="0">
            <w:col w:w="5363" w:space="217"/>
            <w:col w:w="5440"/>
          </w:cols>
        </w:sectPr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83"/>
        <w:ind w:left="0"/>
        <w:jc w:val="left"/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778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98096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778"/>
        <w:jc w:val="left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778" w:right="5380"/>
        <w:jc w:val="left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01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41" w:right="3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2024-09-08T23:09:36Z</dcterms:created>
  <dcterms:modified xsi:type="dcterms:W3CDTF">2024-09-08T23:09:36Z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