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18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6859270" cy="2889885"/>
                <wp:effectExtent l="0" t="0" r="0" b="571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59270" cy="2889885"/>
                          <a:chExt cx="6859270" cy="288988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5" y="0"/>
                            <a:ext cx="6857999" cy="2889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1792223"/>
                            <a:ext cx="6857365" cy="859790"/>
                          </a:xfrm>
                          <a:prstGeom prst="rect">
                            <a:avLst/>
                          </a:prstGeom>
                          <a:solidFill>
                            <a:srgbClr val="0092C8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9" w:lineRule="auto" w:before="191"/>
                                <w:ind w:left="3383" w:right="0" w:hanging="2402"/>
                                <w:jc w:val="left"/>
                                <w:rPr>
                                  <w:rFonts w:ascii="Times New Roman"/>
                                  <w:b/>
                                  <w:color w:val="000000"/>
                                  <w:sz w:val="4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2"/>
                                </w:rPr>
                                <w:t>What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1"/>
                                  <w:w w:val="110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2"/>
                                </w:rPr>
                                <w:t>is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1"/>
                                  <w:w w:val="110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2"/>
                                </w:rPr>
                                <w:t>an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1"/>
                                  <w:w w:val="110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2"/>
                                </w:rPr>
                                <w:t>Income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1"/>
                                  <w:w w:val="110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2"/>
                                </w:rPr>
                                <w:t>Property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1"/>
                                  <w:w w:val="110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2"/>
                                </w:rPr>
                                <w:t>Brokerage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1"/>
                                  <w:w w:val="110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2"/>
                                </w:rPr>
                                <w:t>(IPB) marketing package?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.1pt;height:227.55pt;mso-position-horizontal-relative:char;mso-position-vertical-relative:line" id="docshapegroup1" coordorigin="0,0" coordsize="10802,4551">
                <v:shape style="position:absolute;left:1;top:0;width:10800;height:4551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2822;width:10799;height:1354" type="#_x0000_t202" id="docshape3" filled="true" fillcolor="#0092c8" stroked="false">
                  <v:textbox inset="0,0,0,0">
                    <w:txbxContent>
                      <w:p>
                        <w:pPr>
                          <w:spacing w:line="249" w:lineRule="auto" w:before="191"/>
                          <w:ind w:left="3383" w:right="0" w:hanging="2402"/>
                          <w:jc w:val="left"/>
                          <w:rPr>
                            <w:rFonts w:ascii="Times New Roman"/>
                            <w:b/>
                            <w:color w:val="000000"/>
                            <w:sz w:val="4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2"/>
                          </w:rPr>
                          <w:t>What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1"/>
                            <w:w w:val="110"/>
                            <w:sz w:val="4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2"/>
                          </w:rPr>
                          <w:t>is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1"/>
                            <w:w w:val="110"/>
                            <w:sz w:val="4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2"/>
                          </w:rPr>
                          <w:t>an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1"/>
                            <w:w w:val="110"/>
                            <w:sz w:val="4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2"/>
                          </w:rPr>
                          <w:t>Income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1"/>
                            <w:w w:val="110"/>
                            <w:sz w:val="4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2"/>
                          </w:rPr>
                          <w:t>Property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1"/>
                            <w:w w:val="110"/>
                            <w:sz w:val="4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2"/>
                          </w:rPr>
                          <w:t>Brokerage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1"/>
                            <w:w w:val="110"/>
                            <w:sz w:val="4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2"/>
                          </w:rPr>
                          <w:t>(IPB) marketing package?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27"/>
        <w:ind w:left="0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720" w:bottom="280" w:left="600" w:right="620"/>
        </w:sectPr>
      </w:pPr>
    </w:p>
    <w:p>
      <w:pPr>
        <w:pStyle w:val="BodyText"/>
        <w:spacing w:before="93"/>
        <w:ind w:right="38" w:firstLine="695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457200</wp:posOffset>
                </wp:positionH>
                <wp:positionV relativeFrom="paragraph">
                  <wp:posOffset>24953</wp:posOffset>
                </wp:positionV>
                <wp:extent cx="349885" cy="37020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49885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8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0092C8"/>
                                <w:spacing w:val="-5"/>
                                <w:sz w:val="52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.964872pt;width:27.55pt;height:29.15pt;mso-position-horizontal-relative:page;mso-position-vertical-relative:paragraph;z-index:15729664" type="#_x0000_t202" id="docshape4" filled="false" stroked="false">
                <v:textbox inset="0,0,0,0">
                  <w:txbxContent>
                    <w:p>
                      <w:pPr>
                        <w:spacing w:line="582" w:lineRule="exact" w:before="0"/>
                        <w:ind w:left="0" w:right="0" w:firstLine="0"/>
                        <w:jc w:val="lef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0092C8"/>
                          <w:spacing w:val="-5"/>
                          <w:sz w:val="52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The</w:t>
      </w:r>
      <w:r>
        <w:rPr>
          <w:color w:val="231F20"/>
          <w:spacing w:val="39"/>
        </w:rPr>
        <w:t> </w:t>
      </w:r>
      <w:r>
        <w:rPr>
          <w:color w:val="231F20"/>
        </w:rPr>
        <w:t>Income</w:t>
      </w:r>
      <w:r>
        <w:rPr>
          <w:color w:val="231F20"/>
          <w:spacing w:val="39"/>
        </w:rPr>
        <w:t> </w:t>
      </w:r>
      <w:r>
        <w:rPr>
          <w:color w:val="231F20"/>
        </w:rPr>
        <w:t>Property</w:t>
      </w:r>
      <w:r>
        <w:rPr>
          <w:color w:val="231F20"/>
          <w:spacing w:val="39"/>
        </w:rPr>
        <w:t> </w:t>
      </w:r>
      <w:r>
        <w:rPr>
          <w:color w:val="231F20"/>
        </w:rPr>
        <w:t>Brokerage</w:t>
      </w:r>
      <w:r>
        <w:rPr>
          <w:color w:val="231F20"/>
          <w:spacing w:val="39"/>
        </w:rPr>
        <w:t> </w:t>
      </w:r>
      <w:r>
        <w:rPr>
          <w:color w:val="231F20"/>
        </w:rPr>
        <w:t>(IPB)</w:t>
      </w:r>
      <w:r>
        <w:rPr>
          <w:color w:val="231F20"/>
          <w:spacing w:val="39"/>
        </w:rPr>
        <w:t> </w:t>
      </w:r>
      <w:r>
        <w:rPr>
          <w:color w:val="231F20"/>
        </w:rPr>
        <w:t>marketing package</w:t>
      </w:r>
      <w:r>
        <w:rPr>
          <w:color w:val="231F20"/>
          <w:spacing w:val="40"/>
        </w:rPr>
        <w:t> </w:t>
      </w:r>
      <w:r>
        <w:rPr>
          <w:color w:val="231F20"/>
        </w:rPr>
        <w:t>consists</w:t>
      </w:r>
      <w:r>
        <w:rPr>
          <w:color w:val="231F20"/>
          <w:spacing w:val="40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forms</w:t>
      </w:r>
      <w:r>
        <w:rPr>
          <w:color w:val="231F20"/>
          <w:spacing w:val="40"/>
        </w:rPr>
        <w:t> </w:t>
      </w:r>
      <w:r>
        <w:rPr>
          <w:color w:val="231F20"/>
        </w:rPr>
        <w:t>and</w:t>
      </w:r>
      <w:r>
        <w:rPr>
          <w:color w:val="231F20"/>
          <w:spacing w:val="40"/>
        </w:rPr>
        <w:t> </w:t>
      </w:r>
      <w:r>
        <w:rPr>
          <w:color w:val="231F20"/>
        </w:rPr>
        <w:t>spreadsheets</w:t>
      </w:r>
      <w:r>
        <w:rPr>
          <w:color w:val="231F20"/>
          <w:spacing w:val="40"/>
        </w:rPr>
        <w:t> </w:t>
      </w:r>
      <w:r>
        <w:rPr>
          <w:color w:val="231F20"/>
        </w:rPr>
        <w:t>an</w:t>
      </w:r>
      <w:r>
        <w:rPr>
          <w:color w:val="231F20"/>
          <w:spacing w:val="80"/>
        </w:rPr>
        <w:t> </w:t>
      </w:r>
      <w:r>
        <w:rPr>
          <w:color w:val="231F20"/>
        </w:rPr>
        <w:t>owner’s agent completes in order to determine the amount of</w:t>
      </w:r>
      <w:r>
        <w:rPr>
          <w:color w:val="231F20"/>
          <w:spacing w:val="10"/>
        </w:rPr>
        <w:t> </w:t>
      </w:r>
      <w:r>
        <w:rPr>
          <w:color w:val="231F20"/>
        </w:rPr>
        <w:t>capital</w:t>
      </w:r>
      <w:r>
        <w:rPr>
          <w:color w:val="231F20"/>
          <w:spacing w:val="12"/>
        </w:rPr>
        <w:t> </w:t>
      </w:r>
      <w:r>
        <w:rPr>
          <w:color w:val="231F20"/>
        </w:rPr>
        <w:t>investment</w:t>
      </w:r>
      <w:r>
        <w:rPr>
          <w:color w:val="231F20"/>
          <w:spacing w:val="13"/>
        </w:rPr>
        <w:t> </w:t>
      </w:r>
      <w:r>
        <w:rPr>
          <w:color w:val="231F20"/>
        </w:rPr>
        <w:t>an</w:t>
      </w:r>
      <w:r>
        <w:rPr>
          <w:color w:val="231F20"/>
          <w:spacing w:val="12"/>
        </w:rPr>
        <w:t> </w:t>
      </w:r>
      <w:r>
        <w:rPr>
          <w:color w:val="231F20"/>
        </w:rPr>
        <w:t>income</w:t>
      </w:r>
      <w:r>
        <w:rPr>
          <w:color w:val="231F20"/>
          <w:spacing w:val="13"/>
        </w:rPr>
        <w:t> </w:t>
      </w:r>
      <w:r>
        <w:rPr>
          <w:color w:val="231F20"/>
        </w:rPr>
        <w:t>property</w:t>
      </w:r>
      <w:r>
        <w:rPr>
          <w:color w:val="231F20"/>
          <w:spacing w:val="12"/>
        </w:rPr>
        <w:t> </w:t>
      </w:r>
      <w:r>
        <w:rPr>
          <w:color w:val="231F20"/>
        </w:rPr>
        <w:t>has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ability</w:t>
      </w:r>
      <w:r>
        <w:rPr>
          <w:color w:val="231F20"/>
          <w:spacing w:val="13"/>
        </w:rPr>
        <w:t> </w:t>
      </w:r>
      <w:r>
        <w:rPr>
          <w:color w:val="231F20"/>
          <w:spacing w:val="-5"/>
        </w:rPr>
        <w:t>to</w:t>
      </w:r>
    </w:p>
    <w:p>
      <w:pPr>
        <w:pStyle w:val="BodyText"/>
        <w:spacing w:before="0"/>
      </w:pPr>
      <w:r>
        <w:rPr>
          <w:color w:val="231F20"/>
          <w:spacing w:val="-2"/>
        </w:rPr>
        <w:t>support.</w:t>
      </w:r>
    </w:p>
    <w:p>
      <w:pPr>
        <w:pStyle w:val="BodyText"/>
        <w:ind w:right="38"/>
        <w:jc w:val="both"/>
      </w:pPr>
      <w:r>
        <w:rPr>
          <w:color w:val="231F20"/>
        </w:rPr>
        <w:t>The IPB package is comprised of several forms and is used for the prerequisite analysis of the property’s annual </w:t>
      </w:r>
      <w:r>
        <w:rPr>
          <w:color w:val="231F20"/>
          <w:spacing w:val="-2"/>
        </w:rPr>
        <w:t>operations.</w:t>
      </w:r>
    </w:p>
    <w:p>
      <w:pPr>
        <w:pStyle w:val="BodyText"/>
        <w:ind w:right="39"/>
        <w:jc w:val="both"/>
      </w:pPr>
      <w:r>
        <w:rPr>
          <w:color w:val="231F20"/>
        </w:rPr>
        <w:t>The IPB package is delivered to prospective buyers who show an interested in the property.</w:t>
      </w:r>
    </w:p>
    <w:p>
      <w:pPr>
        <w:pStyle w:val="BodyText"/>
        <w:spacing w:before="91"/>
        <w:ind w:right="38"/>
        <w:jc w:val="both"/>
      </w:pPr>
      <w:r>
        <w:rPr>
          <w:color w:val="231F20"/>
        </w:rPr>
        <w:t>Preparing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IPB</w:t>
      </w:r>
      <w:r>
        <w:rPr>
          <w:color w:val="231F20"/>
          <w:spacing w:val="-2"/>
        </w:rPr>
        <w:t> </w:t>
      </w:r>
      <w:r>
        <w:rPr>
          <w:color w:val="231F20"/>
        </w:rPr>
        <w:t>package</w:t>
      </w:r>
      <w:r>
        <w:rPr>
          <w:color w:val="231F20"/>
          <w:spacing w:val="-2"/>
        </w:rPr>
        <w:t> </w:t>
      </w:r>
      <w:r>
        <w:rPr>
          <w:color w:val="231F20"/>
        </w:rPr>
        <w:t>begins</w:t>
      </w:r>
      <w:r>
        <w:rPr>
          <w:color w:val="231F20"/>
          <w:spacing w:val="-1"/>
        </w:rPr>
        <w:t> </w:t>
      </w:r>
      <w:r>
        <w:rPr>
          <w:color w:val="231F20"/>
        </w:rPr>
        <w:t>with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agent’s</w:t>
      </w:r>
      <w:r>
        <w:rPr>
          <w:color w:val="231F20"/>
          <w:spacing w:val="-2"/>
        </w:rPr>
        <w:t> </w:t>
      </w:r>
      <w:r>
        <w:rPr>
          <w:color w:val="231F20"/>
        </w:rPr>
        <w:t>cursory entry of numbers on the preliminary Work-Up Sheet Template. These preliminary numbers entered in the template automatically fill in corresponding fields in all the IPB forms.</w:t>
      </w:r>
    </w:p>
    <w:p>
      <w:pPr>
        <w:pStyle w:val="BodyText"/>
      </w:pPr>
      <w:r>
        <w:rPr>
          <w:color w:val="231F20"/>
        </w:rPr>
        <w:t>A</w:t>
      </w:r>
      <w:r>
        <w:rPr>
          <w:color w:val="231F20"/>
          <w:spacing w:val="40"/>
        </w:rPr>
        <w:t> </w:t>
      </w:r>
      <w:r>
        <w:rPr>
          <w:color w:val="231F20"/>
        </w:rPr>
        <w:t>complete</w:t>
      </w:r>
      <w:r>
        <w:rPr>
          <w:color w:val="231F20"/>
          <w:spacing w:val="40"/>
        </w:rPr>
        <w:t> </w:t>
      </w:r>
      <w:r>
        <w:rPr>
          <w:color w:val="231F20"/>
        </w:rPr>
        <w:t>IPB</w:t>
      </w:r>
      <w:r>
        <w:rPr>
          <w:color w:val="231F20"/>
          <w:spacing w:val="40"/>
        </w:rPr>
        <w:t> </w:t>
      </w:r>
      <w:r>
        <w:rPr>
          <w:color w:val="231F20"/>
        </w:rPr>
        <w:t>marketing</w:t>
      </w:r>
      <w:r>
        <w:rPr>
          <w:color w:val="231F20"/>
          <w:spacing w:val="40"/>
        </w:rPr>
        <w:t> </w:t>
      </w:r>
      <w:r>
        <w:rPr>
          <w:color w:val="231F20"/>
        </w:rPr>
        <w:t>package</w:t>
      </w:r>
      <w:r>
        <w:rPr>
          <w:color w:val="231F20"/>
          <w:spacing w:val="40"/>
        </w:rPr>
        <w:t> </w:t>
      </w:r>
      <w:r>
        <w:rPr>
          <w:color w:val="231F20"/>
        </w:rPr>
        <w:t>presents</w:t>
      </w:r>
      <w:r>
        <w:rPr>
          <w:color w:val="231F20"/>
          <w:spacing w:val="40"/>
        </w:rPr>
        <w:t> </w:t>
      </w:r>
      <w:r>
        <w:rPr>
          <w:color w:val="231F20"/>
        </w:rPr>
        <w:t>all</w:t>
      </w:r>
      <w:r>
        <w:rPr>
          <w:color w:val="231F20"/>
          <w:spacing w:val="40"/>
        </w:rPr>
        <w:t> </w:t>
      </w:r>
      <w:r>
        <w:rPr>
          <w:color w:val="231F20"/>
        </w:rPr>
        <w:t>critical property disclosures, including:</w:t>
      </w:r>
    </w:p>
    <w:p>
      <w:pPr>
        <w:pStyle w:val="ListParagraph"/>
        <w:numPr>
          <w:ilvl w:val="0"/>
          <w:numId w:val="1"/>
        </w:numPr>
        <w:tabs>
          <w:tab w:pos="658" w:val="left" w:leader="none"/>
        </w:tabs>
        <w:spacing w:line="240" w:lineRule="auto" w:before="90" w:after="0"/>
        <w:ind w:left="658" w:right="0" w:hanging="269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physical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attributes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condition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property;</w:t>
      </w:r>
    </w:p>
    <w:p>
      <w:pPr>
        <w:pStyle w:val="ListParagraph"/>
        <w:numPr>
          <w:ilvl w:val="0"/>
          <w:numId w:val="1"/>
        </w:numPr>
        <w:tabs>
          <w:tab w:pos="658" w:val="left" w:leader="none"/>
        </w:tabs>
        <w:spacing w:line="240" w:lineRule="auto" w:before="90" w:after="0"/>
        <w:ind w:left="658" w:right="0" w:hanging="269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property’s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location,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zoning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uses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permitted;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0" w:after="0"/>
        <w:ind w:left="659" w:right="0" w:hanging="270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price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terms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acquiring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> property;</w:t>
      </w:r>
    </w:p>
    <w:p>
      <w:pPr>
        <w:pStyle w:val="ListParagraph"/>
        <w:numPr>
          <w:ilvl w:val="0"/>
          <w:numId w:val="1"/>
        </w:numPr>
        <w:tabs>
          <w:tab w:pos="658" w:val="left" w:leader="none"/>
        </w:tabs>
        <w:spacing w:line="240" w:lineRule="auto" w:before="90" w:after="0"/>
        <w:ind w:left="658" w:right="0" w:hanging="269"/>
        <w:jc w:val="left"/>
        <w:rPr>
          <w:sz w:val="20"/>
        </w:rPr>
      </w:pPr>
      <w:r>
        <w:rPr>
          <w:color w:val="231F20"/>
          <w:sz w:val="20"/>
        </w:rPr>
        <w:t>loan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arrangements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transactional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costs;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0" w:after="0"/>
        <w:ind w:left="659" w:right="38" w:hanging="270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34"/>
          <w:sz w:val="20"/>
        </w:rPr>
        <w:t> </w:t>
      </w:r>
      <w:r>
        <w:rPr>
          <w:color w:val="231F20"/>
          <w:sz w:val="20"/>
        </w:rPr>
        <w:t>property’s</w:t>
      </w:r>
      <w:r>
        <w:rPr>
          <w:color w:val="231F20"/>
          <w:spacing w:val="34"/>
          <w:sz w:val="20"/>
        </w:rPr>
        <w:t> </w:t>
      </w:r>
      <w:r>
        <w:rPr>
          <w:color w:val="231F20"/>
          <w:sz w:val="20"/>
        </w:rPr>
        <w:t>operational</w:t>
      </w:r>
      <w:r>
        <w:rPr>
          <w:color w:val="231F20"/>
          <w:spacing w:val="34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34"/>
          <w:sz w:val="20"/>
        </w:rPr>
        <w:t> </w:t>
      </w:r>
      <w:r>
        <w:rPr>
          <w:color w:val="231F20"/>
          <w:sz w:val="20"/>
        </w:rPr>
        <w:t>ownership</w:t>
      </w:r>
      <w:r>
        <w:rPr>
          <w:color w:val="231F20"/>
          <w:spacing w:val="34"/>
          <w:sz w:val="20"/>
        </w:rPr>
        <w:t> </w:t>
      </w:r>
      <w:r>
        <w:rPr>
          <w:color w:val="231F20"/>
          <w:sz w:val="20"/>
        </w:rPr>
        <w:t>effect</w:t>
      </w:r>
      <w:r>
        <w:rPr>
          <w:color w:val="231F20"/>
          <w:spacing w:val="34"/>
          <w:sz w:val="20"/>
        </w:rPr>
        <w:t> </w:t>
      </w:r>
      <w:r>
        <w:rPr>
          <w:color w:val="231F20"/>
          <w:sz w:val="20"/>
        </w:rPr>
        <w:t>on income taxes and after-tax cash flow; and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93" w:after="0"/>
        <w:ind w:left="660" w:right="99" w:hanging="270"/>
        <w:jc w:val="both"/>
        <w:rPr>
          <w:sz w:val="20"/>
        </w:rPr>
      </w:pPr>
      <w:r>
        <w:rPr/>
        <w:br w:type="column"/>
      </w:r>
      <w:r>
        <w:rPr>
          <w:color w:val="231F20"/>
          <w:sz w:val="20"/>
        </w:rPr>
        <w:t>the property’s current and, if feasible, anticipated operating figures.</w:t>
      </w:r>
    </w:p>
    <w:p>
      <w:pPr>
        <w:pStyle w:val="BodyText"/>
        <w:ind w:left="120" w:right="99"/>
        <w:jc w:val="both"/>
      </w:pPr>
      <w:r>
        <w:rPr>
          <w:color w:val="231F20"/>
        </w:rPr>
        <w:t>The owner’s agent delivers a complete marketing package to all prospective buyers or their agents who express a further interest after receiving promotion information.</w:t>
      </w:r>
    </w:p>
    <w:p>
      <w:pPr>
        <w:pStyle w:val="BodyText"/>
        <w:ind w:left="120" w:right="99"/>
        <w:jc w:val="both"/>
      </w:pPr>
      <w:r>
        <w:rPr>
          <w:color w:val="231F20"/>
        </w:rPr>
        <w:t>For</w:t>
      </w:r>
      <w:r>
        <w:rPr>
          <w:color w:val="231F20"/>
          <w:spacing w:val="-13"/>
        </w:rPr>
        <w:t> </w:t>
      </w:r>
      <w:r>
        <w:rPr>
          <w:color w:val="231F20"/>
        </w:rPr>
        <w:t>buyers,</w:t>
      </w:r>
      <w:r>
        <w:rPr>
          <w:color w:val="231F20"/>
          <w:spacing w:val="-13"/>
        </w:rPr>
        <w:t> </w:t>
      </w:r>
      <w:r>
        <w:rPr>
          <w:color w:val="231F20"/>
        </w:rPr>
        <w:t>data</w:t>
      </w:r>
      <w:r>
        <w:rPr>
          <w:color w:val="231F20"/>
          <w:spacing w:val="-13"/>
        </w:rPr>
        <w:t> </w:t>
      </w:r>
      <w:r>
        <w:rPr>
          <w:color w:val="231F20"/>
        </w:rPr>
        <w:t>presented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an</w:t>
      </w:r>
      <w:r>
        <w:rPr>
          <w:color w:val="231F20"/>
          <w:spacing w:val="-13"/>
        </w:rPr>
        <w:t> </w:t>
      </w:r>
      <w:r>
        <w:rPr>
          <w:color w:val="231F20"/>
        </w:rPr>
        <w:t>IPB</w:t>
      </w:r>
      <w:r>
        <w:rPr>
          <w:color w:val="231F20"/>
          <w:spacing w:val="-13"/>
        </w:rPr>
        <w:t> </w:t>
      </w:r>
      <w:r>
        <w:rPr>
          <w:color w:val="231F20"/>
        </w:rPr>
        <w:t>package</w:t>
      </w:r>
      <w:r>
        <w:rPr>
          <w:color w:val="231F20"/>
          <w:spacing w:val="-13"/>
        </w:rPr>
        <w:t> </w:t>
      </w:r>
      <w:r>
        <w:rPr>
          <w:color w:val="231F20"/>
        </w:rPr>
        <w:t>is</w:t>
      </w:r>
      <w:r>
        <w:rPr>
          <w:color w:val="231F20"/>
          <w:spacing w:val="-13"/>
        </w:rPr>
        <w:t> </w:t>
      </w:r>
      <w:r>
        <w:rPr>
          <w:color w:val="231F20"/>
        </w:rPr>
        <w:t>used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set the capitalization rate (cap rate) they feel is justified based on the property fundamentals.</w:t>
      </w:r>
    </w:p>
    <w:p>
      <w:pPr>
        <w:pStyle w:val="BodyText"/>
        <w:ind w:left="120"/>
        <w:jc w:val="both"/>
      </w:pP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buyer’s</w:t>
      </w:r>
      <w:r>
        <w:rPr>
          <w:color w:val="231F20"/>
          <w:spacing w:val="-2"/>
        </w:rPr>
        <w:t> </w:t>
      </w:r>
      <w:r>
        <w:rPr>
          <w:color w:val="231F20"/>
        </w:rPr>
        <w:t>purchase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income</w:t>
      </w:r>
      <w:r>
        <w:rPr>
          <w:color w:val="231F20"/>
          <w:spacing w:val="-1"/>
        </w:rPr>
        <w:t> </w:t>
      </w:r>
      <w:r>
        <w:rPr>
          <w:color w:val="231F20"/>
        </w:rPr>
        <w:t>property</w:t>
      </w:r>
      <w:r>
        <w:rPr>
          <w:color w:val="231F20"/>
          <w:spacing w:val="-1"/>
        </w:rPr>
        <w:t> </w:t>
      </w:r>
      <w:r>
        <w:rPr>
          <w:color w:val="231F20"/>
        </w:rPr>
        <w:t>always</w:t>
      </w:r>
      <w:r>
        <w:rPr>
          <w:color w:val="231F20"/>
          <w:spacing w:val="-1"/>
        </w:rPr>
        <w:t> </w:t>
      </w:r>
      <w:r>
        <w:rPr>
          <w:color w:val="231F20"/>
        </w:rPr>
        <w:t>relates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to: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1" w:after="0"/>
        <w:ind w:left="659" w:right="0" w:hanging="269"/>
        <w:jc w:val="left"/>
        <w:rPr>
          <w:sz w:val="20"/>
        </w:rPr>
      </w:pPr>
      <w:r>
        <w:rPr>
          <w:color w:val="231F20"/>
          <w:sz w:val="20"/>
        </w:rPr>
        <w:t>net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operating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income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(NOI);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0" w:after="0"/>
        <w:ind w:left="659" w:right="0" w:hanging="269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cap</w:t>
      </w:r>
      <w:r>
        <w:rPr>
          <w:color w:val="231F20"/>
          <w:spacing w:val="-2"/>
          <w:sz w:val="20"/>
        </w:rPr>
        <w:t> rate;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0" w:after="0"/>
        <w:ind w:left="659" w:right="0" w:hanging="269"/>
        <w:jc w:val="left"/>
        <w:rPr>
          <w:sz w:val="20"/>
        </w:rPr>
      </w:pPr>
      <w:r>
        <w:rPr>
          <w:color w:val="231F20"/>
          <w:sz w:val="20"/>
        </w:rPr>
        <w:t>existing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new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mortgage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financing;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90" w:after="0"/>
        <w:ind w:left="660" w:right="99" w:hanging="270"/>
        <w:jc w:val="left"/>
        <w:rPr>
          <w:sz w:val="20"/>
        </w:rPr>
      </w:pPr>
      <w:r>
        <w:rPr>
          <w:color w:val="231F20"/>
          <w:sz w:val="20"/>
        </w:rPr>
        <w:t>cash-on-cash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margin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(spendable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income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cushion); </w:t>
      </w:r>
      <w:r>
        <w:rPr>
          <w:color w:val="231F20"/>
          <w:spacing w:val="-4"/>
          <w:sz w:val="20"/>
        </w:rPr>
        <w:t>and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0" w:after="0"/>
        <w:ind w:left="659" w:right="0" w:hanging="269"/>
        <w:jc w:val="left"/>
        <w:rPr>
          <w:sz w:val="20"/>
        </w:rPr>
      </w:pPr>
      <w:r>
        <w:rPr>
          <w:color w:val="231F20"/>
          <w:sz w:val="20"/>
        </w:rPr>
        <w:t>after-tax </w:t>
      </w:r>
      <w:r>
        <w:rPr>
          <w:color w:val="231F20"/>
          <w:spacing w:val="-2"/>
          <w:sz w:val="20"/>
        </w:rPr>
        <w:t>returns.</w:t>
      </w:r>
    </w:p>
    <w:p>
      <w:pPr>
        <w:pStyle w:val="BodyText"/>
        <w:ind w:right="99"/>
        <w:jc w:val="both"/>
      </w:pPr>
      <w:r>
        <w:rPr>
          <w:color w:val="231F20"/>
        </w:rPr>
        <w:t>An</w:t>
      </w:r>
      <w:r>
        <w:rPr>
          <w:color w:val="231F20"/>
          <w:spacing w:val="-11"/>
        </w:rPr>
        <w:t> </w:t>
      </w:r>
      <w:r>
        <w:rPr>
          <w:color w:val="231F20"/>
        </w:rPr>
        <w:t>instructive</w:t>
      </w:r>
      <w:r>
        <w:rPr>
          <w:color w:val="231F20"/>
          <w:spacing w:val="-11"/>
        </w:rPr>
        <w:t> </w:t>
      </w:r>
      <w:r>
        <w:rPr>
          <w:color w:val="231F20"/>
        </w:rPr>
        <w:t>marketing</w:t>
      </w:r>
      <w:r>
        <w:rPr>
          <w:color w:val="231F20"/>
          <w:spacing w:val="-11"/>
        </w:rPr>
        <w:t> </w:t>
      </w:r>
      <w:r>
        <w:rPr>
          <w:color w:val="231F20"/>
        </w:rPr>
        <w:t>package</w:t>
      </w:r>
      <w:r>
        <w:rPr>
          <w:color w:val="231F20"/>
          <w:spacing w:val="-11"/>
        </w:rPr>
        <w:t> </w:t>
      </w:r>
      <w:r>
        <w:rPr>
          <w:color w:val="231F20"/>
        </w:rPr>
        <w:t>presents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property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a self-explanatory format which a potential buyer can quickly digest. A comprehensible package functions as a full up- front disclosure of a property’s operating and physical </w:t>
      </w:r>
      <w:r>
        <w:rPr>
          <w:color w:val="231F20"/>
          <w:spacing w:val="-2"/>
        </w:rPr>
        <w:t>condition.</w:t>
      </w:r>
    </w:p>
    <w:p>
      <w:pPr>
        <w:pStyle w:val="BodyText"/>
        <w:ind w:right="99"/>
        <w:jc w:val="both"/>
      </w:pP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buyers,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income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expense</w:t>
      </w:r>
      <w:r>
        <w:rPr>
          <w:color w:val="231F20"/>
          <w:spacing w:val="-4"/>
        </w:rPr>
        <w:t> </w:t>
      </w:r>
      <w:r>
        <w:rPr>
          <w:color w:val="231F20"/>
        </w:rPr>
        <w:t>analysis</w:t>
      </w:r>
      <w:r>
        <w:rPr>
          <w:color w:val="231F20"/>
          <w:spacing w:val="-4"/>
        </w:rPr>
        <w:t> </w:t>
      </w:r>
      <w:r>
        <w:rPr>
          <w:color w:val="231F20"/>
        </w:rPr>
        <w:t>section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an IPB</w:t>
      </w:r>
      <w:r>
        <w:rPr>
          <w:color w:val="231F20"/>
          <w:spacing w:val="-6"/>
        </w:rPr>
        <w:t> </w:t>
      </w:r>
      <w:r>
        <w:rPr>
          <w:color w:val="231F20"/>
        </w:rPr>
        <w:t>marketing</w:t>
      </w:r>
      <w:r>
        <w:rPr>
          <w:color w:val="231F20"/>
          <w:spacing w:val="-6"/>
        </w:rPr>
        <w:t> </w:t>
      </w:r>
      <w:r>
        <w:rPr>
          <w:color w:val="231F20"/>
        </w:rPr>
        <w:t>package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evidence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property’s</w:t>
      </w:r>
      <w:r>
        <w:rPr>
          <w:color w:val="231F20"/>
          <w:spacing w:val="-6"/>
        </w:rPr>
        <w:t> </w:t>
      </w:r>
      <w:r>
        <w:rPr>
          <w:color w:val="231F20"/>
        </w:rPr>
        <w:t>inherent value to support a flow of net income in the future.</w:t>
      </w:r>
    </w:p>
    <w:p>
      <w:pPr>
        <w:spacing w:after="0"/>
        <w:jc w:val="both"/>
        <w:sectPr>
          <w:type w:val="continuous"/>
          <w:pgSz w:w="12240" w:h="15840"/>
          <w:pgMar w:top="720" w:bottom="280" w:left="600" w:right="620"/>
          <w:cols w:num="2" w:equalWidth="0">
            <w:col w:w="5380" w:space="199"/>
            <w:col w:w="5441"/>
          </w:cols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102"/>
        <w:ind w:left="0"/>
      </w:pPr>
    </w:p>
    <w:p>
      <w:pPr>
        <w:spacing w:line="249" w:lineRule="auto" w:before="0"/>
        <w:ind w:left="796" w:right="834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pStyle w:val="BodyText"/>
        <w:spacing w:before="122"/>
        <w:ind w:left="798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5689014</wp:posOffset>
            </wp:positionH>
            <wp:positionV relativeFrom="paragraph">
              <wp:posOffset>98034</wp:posOffset>
            </wp:positionV>
            <wp:extent cx="600807" cy="69290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DRE</w:t>
      </w:r>
      <w:r>
        <w:rPr>
          <w:spacing w:val="-4"/>
        </w:rPr>
        <w:t> </w:t>
      </w:r>
      <w:r>
        <w:rPr/>
        <w:t>LIC#</w:t>
      </w:r>
      <w:r>
        <w:rPr>
          <w:spacing w:val="-1"/>
        </w:rPr>
        <w:t> </w:t>
      </w:r>
      <w:r>
        <w:rPr>
          <w:spacing w:val="-2"/>
        </w:rPr>
        <w:t>01474985</w:t>
      </w:r>
    </w:p>
    <w:p>
      <w:pPr>
        <w:pStyle w:val="BodyText"/>
        <w:spacing w:before="10"/>
        <w:ind w:left="798"/>
      </w:pPr>
      <w:r>
        <w:rPr>
          <w:spacing w:val="-2"/>
        </w:rPr>
        <w:t>925-395-</w:t>
      </w:r>
      <w:r>
        <w:rPr>
          <w:spacing w:val="-4"/>
        </w:rPr>
        <w:t>0175</w:t>
      </w:r>
    </w:p>
    <w:p>
      <w:pPr>
        <w:pStyle w:val="BodyText"/>
        <w:spacing w:line="249" w:lineRule="auto" w:before="10"/>
        <w:ind w:left="798" w:right="5360"/>
      </w:pPr>
      <w:hyperlink r:id="rId7">
        <w:r>
          <w:rPr>
            <w:spacing w:val="-2"/>
          </w:rPr>
          <w:t>christy@christyscarealty.com</w:t>
        </w:r>
      </w:hyperlink>
      <w:r>
        <w:rPr>
          <w:spacing w:val="-2"/>
        </w:rPr>
        <w:t> christyscaliforniarealty.com</w:t>
      </w:r>
    </w:p>
    <w:sectPr>
      <w:type w:val="continuous"/>
      <w:pgSz w:w="12240" w:h="15840"/>
      <w:pgMar w:top="72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5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1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3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5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7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9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1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3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35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0"/>
      <w:ind w:left="119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82" w:lineRule="exact"/>
    </w:pPr>
    <w:rPr>
      <w:rFonts w:ascii="Arial" w:hAnsi="Arial" w:eastAsia="Arial" w:cs="Arial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659" w:hanging="26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2024-09-09T00:48:05Z</dcterms:created>
  <dcterms:modified xsi:type="dcterms:W3CDTF">2024-09-09T00:48:05Z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LiveCycle Designer 11.0</vt:lpwstr>
  </property>
</Properties>
</file>