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2615565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615565"/>
                          <a:chExt cx="6858000" cy="26155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615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98645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8645" h="2615565">
                                <a:moveTo>
                                  <a:pt x="4398264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0" y="1322971"/>
                                </a:lnTo>
                                <a:lnTo>
                                  <a:pt x="0" y="2615184"/>
                                </a:lnTo>
                                <a:lnTo>
                                  <a:pt x="2172614" y="2615184"/>
                                </a:lnTo>
                                <a:lnTo>
                                  <a:pt x="439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261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5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9" w:lineRule="auto" w:before="1"/>
                                <w:ind w:left="1550" w:right="5586" w:firstLine="380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31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need to know about</w:t>
                              </w:r>
                            </w:p>
                            <w:p>
                              <w:pPr>
                                <w:spacing w:line="249" w:lineRule="auto" w:before="3"/>
                                <w:ind w:left="269" w:right="5586" w:firstLine="733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the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lead-based paint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3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disclosure?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205.95pt;mso-position-horizontal-relative:char;mso-position-vertical-relative:line" id="docshapegroup1" coordorigin="0,0" coordsize="10800,4119">
                <v:shape style="position:absolute;left:0;top:0;width:10800;height:4119" type="#_x0000_t75" id="docshape2" stroked="false">
                  <v:imagedata r:id="rId5" o:title=""/>
                </v:shape>
                <v:shape style="position:absolute;left:0;top:0;width:6927;height:4119" id="docshape3" coordorigin="0,0" coordsize="6927,4119" path="m6926,0l2376,0,0,2083,0,4118,3421,4118,6926,0xe" filled="true" fillcolor="#0092c8" stroked="false">
                  <v:path arrowok="t"/>
                  <v:fill opacity="52428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800;height:4119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335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9" w:lineRule="auto" w:before="1"/>
                          <w:ind w:left="1550" w:right="5586" w:firstLine="380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31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need to know about</w:t>
                        </w:r>
                      </w:p>
                      <w:p>
                        <w:pPr>
                          <w:spacing w:line="249" w:lineRule="auto" w:before="3"/>
                          <w:ind w:left="269" w:right="5586" w:firstLine="733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the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lead-based paint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3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disclosure?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6"/>
        <w:jc w:val="left"/>
        <w:rPr>
          <w:rFonts w:ascii="Times New Roman"/>
          <w:sz w:val="20"/>
        </w:rPr>
      </w:pP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720" w:bottom="280" w:left="620" w:right="600"/>
        </w:sectPr>
      </w:pPr>
    </w:p>
    <w:p>
      <w:pPr>
        <w:pStyle w:val="BodyText"/>
        <w:spacing w:before="93"/>
        <w:ind w:left="866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458216</wp:posOffset>
                </wp:positionH>
                <wp:positionV relativeFrom="paragraph">
                  <wp:posOffset>21377</wp:posOffset>
                </wp:positionV>
                <wp:extent cx="384810" cy="4070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683276pt;width:30.3pt;height:32.0500pt;mso-position-horizontal-relative:page;mso-position-vertical-relative:paragraph;z-index:-15762944" type="#_x0000_t202" id="docshape5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In 1978, lead-based paint (LBP) was banned from</w:t>
      </w:r>
      <w:r>
        <w:rPr>
          <w:color w:val="231F20"/>
          <w:spacing w:val="47"/>
        </w:rPr>
        <w:t> </w:t>
      </w:r>
      <w:r>
        <w:rPr>
          <w:color w:val="231F20"/>
        </w:rPr>
        <w:t>use</w:t>
      </w:r>
      <w:r>
        <w:rPr>
          <w:color w:val="231F20"/>
          <w:spacing w:val="49"/>
        </w:rPr>
        <w:t> </w:t>
      </w:r>
      <w:r>
        <w:rPr>
          <w:color w:val="231F20"/>
        </w:rPr>
        <w:t>by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federal</w:t>
      </w:r>
      <w:r>
        <w:rPr>
          <w:color w:val="231F20"/>
          <w:spacing w:val="49"/>
        </w:rPr>
        <w:t> </w:t>
      </w:r>
      <w:r>
        <w:rPr>
          <w:color w:val="231F20"/>
        </w:rPr>
        <w:t>Consumer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Product</w:t>
      </w:r>
    </w:p>
    <w:p>
      <w:pPr>
        <w:pStyle w:val="BodyText"/>
        <w:spacing w:before="0"/>
        <w:ind w:left="101" w:right="38"/>
      </w:pPr>
      <w:r>
        <w:rPr>
          <w:color w:val="231F20"/>
        </w:rPr>
        <w:t>Safety Commission. An LBP hazard is any condition that causes human exposure to lead from lead- contaminated</w:t>
      </w:r>
      <w:r>
        <w:rPr>
          <w:color w:val="231F20"/>
          <w:spacing w:val="-16"/>
        </w:rPr>
        <w:t> </w:t>
      </w:r>
      <w:r>
        <w:rPr>
          <w:color w:val="231F20"/>
        </w:rPr>
        <w:t>dust,</w:t>
      </w:r>
      <w:r>
        <w:rPr>
          <w:color w:val="231F20"/>
          <w:spacing w:val="-15"/>
        </w:rPr>
        <w:t> </w:t>
      </w:r>
      <w:r>
        <w:rPr>
          <w:color w:val="231F20"/>
        </w:rPr>
        <w:t>soil</w:t>
      </w:r>
      <w:r>
        <w:rPr>
          <w:color w:val="231F20"/>
          <w:spacing w:val="-15"/>
        </w:rPr>
        <w:t> </w:t>
      </w:r>
      <w:r>
        <w:rPr>
          <w:color w:val="231F20"/>
        </w:rPr>
        <w:t>or</w:t>
      </w:r>
      <w:r>
        <w:rPr>
          <w:color w:val="231F20"/>
          <w:spacing w:val="-16"/>
        </w:rPr>
        <w:t> </w:t>
      </w:r>
      <w:r>
        <w:rPr>
          <w:color w:val="231F20"/>
        </w:rPr>
        <w:t>paint</w:t>
      </w:r>
      <w:r>
        <w:rPr>
          <w:color w:val="231F20"/>
          <w:spacing w:val="-15"/>
        </w:rPr>
        <w:t> </w:t>
      </w:r>
      <w:r>
        <w:rPr>
          <w:color w:val="231F20"/>
        </w:rPr>
        <w:t>which</w:t>
      </w:r>
      <w:r>
        <w:rPr>
          <w:color w:val="231F20"/>
          <w:spacing w:val="-15"/>
        </w:rPr>
        <w:t> </w:t>
      </w:r>
      <w:r>
        <w:rPr>
          <w:color w:val="231F20"/>
        </w:rPr>
        <w:t>has</w:t>
      </w:r>
      <w:r>
        <w:rPr>
          <w:color w:val="231F20"/>
          <w:spacing w:val="-15"/>
        </w:rPr>
        <w:t> </w:t>
      </w:r>
      <w:r>
        <w:rPr>
          <w:color w:val="231F20"/>
        </w:rPr>
        <w:t>deteriorated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point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producing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adverse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human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health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effects.</w:t>
      </w:r>
    </w:p>
    <w:p>
      <w:pPr>
        <w:pStyle w:val="BodyText"/>
        <w:ind w:left="101" w:right="38"/>
      </w:pPr>
      <w:r>
        <w:rPr>
          <w:color w:val="231F20"/>
        </w:rPr>
        <w:t>As a seller, federal LBP rules require your agent to advise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about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requirements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disclosures</w:t>
      </w:r>
      <w:r>
        <w:rPr>
          <w:color w:val="231F20"/>
          <w:spacing w:val="-13"/>
        </w:rPr>
        <w:t> </w:t>
      </w:r>
      <w:r>
        <w:rPr>
          <w:color w:val="231F20"/>
        </w:rPr>
        <w:t>you will make to prospective buyers before you enter into a purchase agreement to sell your home.</w:t>
      </w:r>
    </w:p>
    <w:p>
      <w:pPr>
        <w:pStyle w:val="BodyText"/>
        <w:ind w:left="101" w:right="38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prospective buyer of a residence built prior to 1978 is given the disclosure form providing notice of any known</w:t>
      </w:r>
      <w:r>
        <w:rPr>
          <w:color w:val="231F20"/>
          <w:spacing w:val="-6"/>
        </w:rPr>
        <w:t> </w:t>
      </w:r>
      <w:r>
        <w:rPr>
          <w:color w:val="231F20"/>
        </w:rPr>
        <w:t>LBP</w:t>
      </w:r>
      <w:r>
        <w:rPr>
          <w:color w:val="231F20"/>
          <w:spacing w:val="-10"/>
        </w:rPr>
        <w:t> </w:t>
      </w:r>
      <w:r>
        <w:rPr>
          <w:color w:val="231F20"/>
        </w:rPr>
        <w:t>conditions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offer.</w:t>
      </w:r>
      <w:r>
        <w:rPr>
          <w:color w:val="231F20"/>
          <w:spacing w:val="-10"/>
        </w:rPr>
        <w:t> </w:t>
      </w:r>
      <w:r>
        <w:rPr>
          <w:color w:val="231F20"/>
        </w:rPr>
        <w:t>The LBP disclosure further advises them they have a 10- day period after their offer is accepted to evaluate</w:t>
      </w:r>
      <w:r>
        <w:rPr>
          <w:color w:val="231F20"/>
          <w:spacing w:val="80"/>
        </w:rPr>
        <w:t> </w:t>
      </w:r>
      <w:r>
        <w:rPr>
          <w:color w:val="231F20"/>
        </w:rPr>
        <w:t>the LBP risks involved. The LBP disclosure cannot</w:t>
      </w:r>
      <w:r>
        <w:rPr>
          <w:color w:val="231F20"/>
          <w:spacing w:val="80"/>
        </w:rPr>
        <w:t> </w:t>
      </w:r>
      <w:r>
        <w:rPr>
          <w:color w:val="231F20"/>
        </w:rPr>
        <w:t>be waived by the use of an “as-is” sale provision or </w:t>
      </w:r>
      <w:r>
        <w:rPr>
          <w:color w:val="231F20"/>
          <w:spacing w:val="-2"/>
        </w:rPr>
        <w:t>otherwise.</w:t>
      </w:r>
    </w:p>
    <w:p>
      <w:pPr>
        <w:pStyle w:val="BodyText"/>
        <w:ind w:left="101"/>
      </w:pP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comply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LBP</w:t>
      </w:r>
      <w:r>
        <w:rPr>
          <w:color w:val="231F20"/>
          <w:spacing w:val="-9"/>
        </w:rPr>
        <w:t> </w:t>
      </w:r>
      <w:r>
        <w:rPr>
          <w:color w:val="231F20"/>
        </w:rPr>
        <w:t>disclosure</w:t>
      </w:r>
      <w:r>
        <w:rPr>
          <w:color w:val="231F20"/>
          <w:spacing w:val="-6"/>
        </w:rPr>
        <w:t> </w:t>
      </w:r>
      <w:r>
        <w:rPr>
          <w:color w:val="231F20"/>
        </w:rPr>
        <w:t>requirements,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you: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180" w:after="0"/>
        <w:ind w:left="731" w:right="39" w:hanging="270"/>
        <w:jc w:val="both"/>
        <w:rPr>
          <w:sz w:val="22"/>
        </w:rPr>
      </w:pPr>
      <w:r>
        <w:rPr>
          <w:color w:val="231F20"/>
          <w:sz w:val="22"/>
        </w:rPr>
        <w:t>fill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out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sign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federal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LBP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disclosure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form required on the sale of all pre-1978 residential </w:t>
      </w:r>
      <w:r>
        <w:rPr>
          <w:color w:val="231F20"/>
          <w:spacing w:val="-2"/>
          <w:sz w:val="22"/>
        </w:rPr>
        <w:t>construction;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93" w:after="0"/>
        <w:ind w:left="731" w:right="118" w:hanging="270"/>
        <w:jc w:val="both"/>
        <w:rPr>
          <w:sz w:val="22"/>
        </w:rPr>
      </w:pPr>
      <w:r>
        <w:rPr/>
        <w:br w:type="column"/>
      </w:r>
      <w:r>
        <w:rPr>
          <w:color w:val="231F20"/>
          <w:spacing w:val="-6"/>
          <w:sz w:val="22"/>
        </w:rPr>
        <w:t>fill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6"/>
          <w:sz w:val="22"/>
        </w:rPr>
        <w:t>out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6"/>
          <w:sz w:val="22"/>
        </w:rPr>
        <w:t>and sign the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6"/>
          <w:sz w:val="22"/>
        </w:rPr>
        <w:t>Transfer Disclosure Statement </w:t>
      </w:r>
      <w:r>
        <w:rPr>
          <w:color w:val="231F20"/>
          <w:spacing w:val="-2"/>
          <w:sz w:val="22"/>
        </w:rPr>
        <w:t>(TDS),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which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includes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questionnaire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regarding environmental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hazards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on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property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including </w:t>
      </w:r>
      <w:r>
        <w:rPr>
          <w:color w:val="231F20"/>
          <w:sz w:val="22"/>
        </w:rPr>
        <w:t>the existence of LBP; and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180" w:after="0"/>
        <w:ind w:left="731" w:right="118" w:hanging="270"/>
        <w:jc w:val="both"/>
        <w:rPr>
          <w:sz w:val="22"/>
        </w:rPr>
      </w:pPr>
      <w:r>
        <w:rPr>
          <w:color w:val="231F20"/>
          <w:sz w:val="22"/>
        </w:rPr>
        <w:t>provide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your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agent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copies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any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reports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or documentation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concerning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LBP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hazards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the </w:t>
      </w:r>
      <w:r>
        <w:rPr>
          <w:color w:val="231F20"/>
          <w:spacing w:val="-2"/>
          <w:sz w:val="22"/>
        </w:rPr>
        <w:t>property.</w:t>
      </w:r>
    </w:p>
    <w:p>
      <w:pPr>
        <w:pStyle w:val="BodyText"/>
        <w:ind w:left="101" w:right="117"/>
      </w:pPr>
      <w:r>
        <w:rPr>
          <w:color w:val="231F20"/>
        </w:rPr>
        <w:t>You</w:t>
      </w:r>
      <w:r>
        <w:rPr>
          <w:color w:val="231F20"/>
          <w:spacing w:val="-14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seller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home</w:t>
      </w:r>
      <w:r>
        <w:rPr>
          <w:color w:val="231F20"/>
          <w:spacing w:val="-14"/>
        </w:rPr>
        <w:t> </w:t>
      </w:r>
      <w:r>
        <w:rPr>
          <w:color w:val="231F20"/>
        </w:rPr>
        <w:t>are</w:t>
      </w:r>
      <w:r>
        <w:rPr>
          <w:color w:val="231F20"/>
          <w:spacing w:val="-14"/>
        </w:rPr>
        <w:t> </w:t>
      </w:r>
      <w:r>
        <w:rPr>
          <w:color w:val="231F20"/>
        </w:rPr>
        <w:t>not</w:t>
      </w:r>
      <w:r>
        <w:rPr>
          <w:color w:val="231F20"/>
          <w:spacing w:val="-14"/>
        </w:rPr>
        <w:t> </w:t>
      </w:r>
      <w:r>
        <w:rPr>
          <w:color w:val="231F20"/>
        </w:rPr>
        <w:t>obligated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have</w:t>
      </w:r>
      <w:r>
        <w:rPr>
          <w:color w:val="231F20"/>
          <w:spacing w:val="-14"/>
        </w:rPr>
        <w:t> </w:t>
      </w:r>
      <w:r>
        <w:rPr>
          <w:color w:val="231F20"/>
        </w:rPr>
        <w:t>the property</w:t>
      </w:r>
      <w:r>
        <w:rPr>
          <w:color w:val="231F20"/>
          <w:spacing w:val="-1"/>
        </w:rPr>
        <w:t> </w:t>
      </w:r>
      <w:r>
        <w:rPr>
          <w:color w:val="231F20"/>
        </w:rPr>
        <w:t>inspected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obtain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report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presence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LBP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LBP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hazards.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Also,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perform </w:t>
      </w:r>
      <w:r>
        <w:rPr>
          <w:color w:val="231F20"/>
        </w:rPr>
        <w:t>any corrective work to clean up or even eliminate the LBP conditions, unless agreed to with the buyer.</w:t>
      </w:r>
    </w:p>
    <w:p>
      <w:pPr>
        <w:pStyle w:val="BodyText"/>
        <w:ind w:left="101" w:right="117"/>
      </w:pP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fully-transparent</w:t>
      </w:r>
      <w:r>
        <w:rPr>
          <w:color w:val="231F20"/>
          <w:spacing w:val="-7"/>
        </w:rPr>
        <w:t> </w:t>
      </w:r>
      <w:r>
        <w:rPr>
          <w:color w:val="231F20"/>
        </w:rPr>
        <w:t>presentation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your home to prospective buyers before you enter into a purchase agreement, later renegotiations due to delayed disclosures are avoided, including demands for a price reduction, renovation or cancellation.</w:t>
      </w:r>
    </w:p>
    <w:p>
      <w:pPr>
        <w:spacing w:after="0"/>
        <w:sectPr>
          <w:type w:val="continuous"/>
          <w:pgSz w:w="12240" w:h="15840"/>
          <w:pgMar w:top="720" w:bottom="280" w:left="620" w:right="600"/>
          <w:cols w:num="2" w:equalWidth="0">
            <w:col w:w="5362" w:space="217"/>
            <w:col w:w="5441"/>
          </w:cols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69"/>
        <w:jc w:val="left"/>
        <w:rPr>
          <w:sz w:val="20"/>
        </w:rPr>
      </w:pPr>
    </w:p>
    <w:p>
      <w:pPr>
        <w:spacing w:line="249" w:lineRule="auto" w:before="0"/>
        <w:ind w:left="776" w:right="83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77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98061</wp:posOffset>
            </wp:positionV>
            <wp:extent cx="600807" cy="69290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77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778" w:right="53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31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6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0"/>
      <w:jc w:val="both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731" w:right="118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2024-09-09T00:48:52Z</dcterms:created>
  <dcterms:modified xsi:type="dcterms:W3CDTF">2024-09-09T00:48:52Z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