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565"/>
        <w:jc w:val="left"/>
        <w:rPr>
          <w:rFonts w:ascii="Times New Roman"/>
        </w:rPr>
      </w:pPr>
      <w:r>
        <w:rPr>
          <w:rFonts w:ascii="Times New Roman"/>
        </w:rPr>
        <mc:AlternateContent>
          <mc:Choice Requires="wps">
            <w:drawing>
              <wp:inline distT="0" distB="0" distL="0" distR="0">
                <wp:extent cx="5927725" cy="2400300"/>
                <wp:effectExtent l="0" t="0" r="0" b="0"/>
                <wp:docPr id="1" name="Group 1"/>
                <wp:cNvGraphicFramePr>
                  <a:graphicFrameLocks/>
                </wp:cNvGraphicFramePr>
                <a:graphic>
                  <a:graphicData uri="http://schemas.microsoft.com/office/word/2010/wordprocessingGroup">
                    <wpg:wgp>
                      <wpg:cNvPr id="1" name="Group 1"/>
                      <wpg:cNvGrpSpPr/>
                      <wpg:grpSpPr>
                        <a:xfrm>
                          <a:off x="0" y="0"/>
                          <a:ext cx="5927725" cy="2400300"/>
                          <a:chExt cx="5927725" cy="2400300"/>
                        </a:xfrm>
                      </wpg:grpSpPr>
                      <pic:pic>
                        <pic:nvPicPr>
                          <pic:cNvPr id="2" name="Image 2"/>
                          <pic:cNvPicPr/>
                        </pic:nvPicPr>
                        <pic:blipFill>
                          <a:blip r:embed="rId5" cstate="print"/>
                          <a:stretch>
                            <a:fillRect/>
                          </a:stretch>
                        </pic:blipFill>
                        <pic:spPr>
                          <a:xfrm>
                            <a:off x="0" y="0"/>
                            <a:ext cx="5193460" cy="2400300"/>
                          </a:xfrm>
                          <a:prstGeom prst="rect">
                            <a:avLst/>
                          </a:prstGeom>
                        </pic:spPr>
                      </pic:pic>
                      <wps:wsp>
                        <wps:cNvPr id="3" name="Graphic 3"/>
                        <wps:cNvSpPr/>
                        <wps:spPr>
                          <a:xfrm>
                            <a:off x="1529055" y="0"/>
                            <a:ext cx="4398645" cy="2400300"/>
                          </a:xfrm>
                          <a:custGeom>
                            <a:avLst/>
                            <a:gdLst/>
                            <a:ahLst/>
                            <a:cxnLst/>
                            <a:rect l="l" t="t" r="r" b="b"/>
                            <a:pathLst>
                              <a:path w="4398645" h="2400300">
                                <a:moveTo>
                                  <a:pt x="2889504" y="0"/>
                                </a:moveTo>
                                <a:lnTo>
                                  <a:pt x="0" y="0"/>
                                </a:lnTo>
                                <a:lnTo>
                                  <a:pt x="2225649" y="2400300"/>
                                </a:lnTo>
                                <a:lnTo>
                                  <a:pt x="4398264" y="2400300"/>
                                </a:lnTo>
                                <a:lnTo>
                                  <a:pt x="4398264" y="1322971"/>
                                </a:lnTo>
                                <a:lnTo>
                                  <a:pt x="2889504" y="0"/>
                                </a:lnTo>
                                <a:close/>
                              </a:path>
                            </a:pathLst>
                          </a:custGeom>
                          <a:solidFill>
                            <a:srgbClr val="0092C8">
                              <a:alpha val="79998"/>
                            </a:srgbClr>
                          </a:solidFill>
                        </wps:spPr>
                        <wps:bodyPr wrap="square" lIns="0" tIns="0" rIns="0" bIns="0" rtlCol="0">
                          <a:prstTxWarp prst="textNoShape">
                            <a:avLst/>
                          </a:prstTxWarp>
                          <a:noAutofit/>
                        </wps:bodyPr>
                      </wps:wsp>
                      <wps:wsp>
                        <wps:cNvPr id="4" name="Textbox 4"/>
                        <wps:cNvSpPr txBox="1"/>
                        <wps:spPr>
                          <a:xfrm>
                            <a:off x="0" y="0"/>
                            <a:ext cx="5927725" cy="2400300"/>
                          </a:xfrm>
                          <a:prstGeom prst="rect">
                            <a:avLst/>
                          </a:prstGeom>
                        </wps:spPr>
                        <wps:txbx>
                          <w:txbxContent>
                            <w:p>
                              <w:pPr>
                                <w:spacing w:line="240" w:lineRule="auto" w:before="277"/>
                                <w:rPr>
                                  <w:rFonts w:ascii="Times New Roman"/>
                                  <w:sz w:val="46"/>
                                </w:rPr>
                              </w:pPr>
                            </w:p>
                            <w:p>
                              <w:pPr>
                                <w:spacing w:before="0"/>
                                <w:ind w:left="4014" w:right="0" w:firstLine="0"/>
                                <w:jc w:val="left"/>
                                <w:rPr>
                                  <w:rFonts w:ascii="Times New Roman"/>
                                  <w:b/>
                                  <w:sz w:val="46"/>
                                </w:rPr>
                              </w:pPr>
                              <w:r>
                                <w:rPr>
                                  <w:rFonts w:ascii="Times New Roman"/>
                                  <w:b/>
                                  <w:color w:val="FFFFFF"/>
                                  <w:sz w:val="46"/>
                                </w:rPr>
                                <w:t>Am</w:t>
                              </w:r>
                              <w:r>
                                <w:rPr>
                                  <w:rFonts w:ascii="Times New Roman"/>
                                  <w:b/>
                                  <w:color w:val="FFFFFF"/>
                                  <w:spacing w:val="56"/>
                                  <w:sz w:val="46"/>
                                </w:rPr>
                                <w:t> </w:t>
                              </w:r>
                              <w:r>
                                <w:rPr>
                                  <w:rFonts w:ascii="Times New Roman"/>
                                  <w:b/>
                                  <w:color w:val="FFFFFF"/>
                                  <w:sz w:val="46"/>
                                </w:rPr>
                                <w:t>I</w:t>
                              </w:r>
                              <w:r>
                                <w:rPr>
                                  <w:rFonts w:ascii="Times New Roman"/>
                                  <w:b/>
                                  <w:color w:val="FFFFFF"/>
                                  <w:spacing w:val="56"/>
                                  <w:sz w:val="46"/>
                                </w:rPr>
                                <w:t> </w:t>
                              </w:r>
                              <w:r>
                                <w:rPr>
                                  <w:rFonts w:ascii="Times New Roman"/>
                                  <w:b/>
                                  <w:color w:val="FFFFFF"/>
                                  <w:spacing w:val="-2"/>
                                  <w:sz w:val="46"/>
                                </w:rPr>
                                <w:t>personally</w:t>
                              </w:r>
                            </w:p>
                            <w:p>
                              <w:pPr>
                                <w:spacing w:line="249" w:lineRule="auto" w:before="23"/>
                                <w:ind w:left="5245" w:right="1079" w:hanging="22"/>
                                <w:jc w:val="left"/>
                                <w:rPr>
                                  <w:rFonts w:ascii="Times New Roman"/>
                                  <w:b/>
                                  <w:sz w:val="46"/>
                                </w:rPr>
                              </w:pPr>
                              <w:r>
                                <w:rPr>
                                  <w:rFonts w:ascii="Times New Roman"/>
                                  <w:b/>
                                  <w:color w:val="FFFFFF"/>
                                  <w:w w:val="115"/>
                                  <w:sz w:val="46"/>
                                </w:rPr>
                                <w:t>liable if I </w:t>
                              </w:r>
                              <w:r>
                                <w:rPr>
                                  <w:rFonts w:ascii="Times New Roman"/>
                                  <w:b/>
                                  <w:color w:val="FFFFFF"/>
                                  <w:spacing w:val="-4"/>
                                  <w:w w:val="115"/>
                                  <w:sz w:val="46"/>
                                </w:rPr>
                                <w:t>default</w:t>
                              </w:r>
                              <w:r>
                                <w:rPr>
                                  <w:rFonts w:ascii="Times New Roman"/>
                                  <w:b/>
                                  <w:color w:val="FFFFFF"/>
                                  <w:spacing w:val="-41"/>
                                  <w:w w:val="115"/>
                                  <w:sz w:val="46"/>
                                </w:rPr>
                                <w:t> </w:t>
                              </w:r>
                              <w:r>
                                <w:rPr>
                                  <w:rFonts w:ascii="Times New Roman"/>
                                  <w:b/>
                                  <w:color w:val="FFFFFF"/>
                                  <w:spacing w:val="-4"/>
                                  <w:w w:val="115"/>
                                  <w:sz w:val="46"/>
                                </w:rPr>
                                <w:t>on</w:t>
                              </w:r>
                              <w:r>
                                <w:rPr>
                                  <w:rFonts w:ascii="Times New Roman"/>
                                  <w:b/>
                                  <w:color w:val="FFFFFF"/>
                                  <w:spacing w:val="-40"/>
                                  <w:w w:val="115"/>
                                  <w:sz w:val="46"/>
                                </w:rPr>
                                <w:t> </w:t>
                              </w:r>
                              <w:r>
                                <w:rPr>
                                  <w:rFonts w:ascii="Times New Roman"/>
                                  <w:b/>
                                  <w:color w:val="FFFFFF"/>
                                  <w:spacing w:val="-4"/>
                                  <w:w w:val="115"/>
                                  <w:sz w:val="46"/>
                                </w:rPr>
                                <w:t>my</w:t>
                              </w:r>
                            </w:p>
                            <w:p>
                              <w:pPr>
                                <w:spacing w:before="4"/>
                                <w:ind w:left="6073" w:right="0" w:firstLine="0"/>
                                <w:jc w:val="left"/>
                                <w:rPr>
                                  <w:rFonts w:ascii="Times New Roman"/>
                                  <w:b/>
                                  <w:sz w:val="46"/>
                                </w:rPr>
                              </w:pPr>
                              <w:r>
                                <w:rPr>
                                  <w:rFonts w:ascii="Times New Roman"/>
                                  <w:b/>
                                  <w:color w:val="FFFFFF"/>
                                  <w:spacing w:val="-2"/>
                                  <w:w w:val="115"/>
                                  <w:sz w:val="46"/>
                                </w:rPr>
                                <w:t>mortgage?</w:t>
                              </w:r>
                            </w:p>
                          </w:txbxContent>
                        </wps:txbx>
                        <wps:bodyPr wrap="square" lIns="0" tIns="0" rIns="0" bIns="0" rtlCol="0">
                          <a:noAutofit/>
                        </wps:bodyPr>
                      </wps:wsp>
                    </wpg:wgp>
                  </a:graphicData>
                </a:graphic>
              </wp:inline>
            </w:drawing>
          </mc:Choice>
          <mc:Fallback>
            <w:pict>
              <v:group style="width:466.75pt;height:189pt;mso-position-horizontal-relative:char;mso-position-vertical-relative:line" id="docshapegroup1" coordorigin="0,0" coordsize="9335,3780">
                <v:shape style="position:absolute;left:0;top:0;width:8179;height:3780" type="#_x0000_t75" id="docshape2" stroked="false">
                  <v:imagedata r:id="rId5" o:title=""/>
                </v:shape>
                <v:shape style="position:absolute;left:2407;top:0;width:6927;height:3780" id="docshape3" coordorigin="2408,0" coordsize="6927,3780" path="m6958,0l2408,0,5913,3780,9334,3780,9334,2083,6958,0xe" filled="true" fillcolor="#0092c8" stroked="false">
                  <v:path arrowok="t"/>
                  <v:fill opacity="52428f" type="solid"/>
                </v:shape>
                <v:shapetype id="_x0000_t202" o:spt="202" coordsize="21600,21600" path="m,l,21600r21600,l21600,xe">
                  <v:stroke joinstyle="miter"/>
                  <v:path gradientshapeok="t" o:connecttype="rect"/>
                </v:shapetype>
                <v:shape style="position:absolute;left:0;top:0;width:9335;height:3780" type="#_x0000_t202" id="docshape4" filled="false" stroked="false">
                  <v:textbox inset="0,0,0,0">
                    <w:txbxContent>
                      <w:p>
                        <w:pPr>
                          <w:spacing w:line="240" w:lineRule="auto" w:before="277"/>
                          <w:rPr>
                            <w:rFonts w:ascii="Times New Roman"/>
                            <w:sz w:val="46"/>
                          </w:rPr>
                        </w:pPr>
                      </w:p>
                      <w:p>
                        <w:pPr>
                          <w:spacing w:before="0"/>
                          <w:ind w:left="4014" w:right="0" w:firstLine="0"/>
                          <w:jc w:val="left"/>
                          <w:rPr>
                            <w:rFonts w:ascii="Times New Roman"/>
                            <w:b/>
                            <w:sz w:val="46"/>
                          </w:rPr>
                        </w:pPr>
                        <w:r>
                          <w:rPr>
                            <w:rFonts w:ascii="Times New Roman"/>
                            <w:b/>
                            <w:color w:val="FFFFFF"/>
                            <w:sz w:val="46"/>
                          </w:rPr>
                          <w:t>Am</w:t>
                        </w:r>
                        <w:r>
                          <w:rPr>
                            <w:rFonts w:ascii="Times New Roman"/>
                            <w:b/>
                            <w:color w:val="FFFFFF"/>
                            <w:spacing w:val="56"/>
                            <w:sz w:val="46"/>
                          </w:rPr>
                          <w:t> </w:t>
                        </w:r>
                        <w:r>
                          <w:rPr>
                            <w:rFonts w:ascii="Times New Roman"/>
                            <w:b/>
                            <w:color w:val="FFFFFF"/>
                            <w:sz w:val="46"/>
                          </w:rPr>
                          <w:t>I</w:t>
                        </w:r>
                        <w:r>
                          <w:rPr>
                            <w:rFonts w:ascii="Times New Roman"/>
                            <w:b/>
                            <w:color w:val="FFFFFF"/>
                            <w:spacing w:val="56"/>
                            <w:sz w:val="46"/>
                          </w:rPr>
                          <w:t> </w:t>
                        </w:r>
                        <w:r>
                          <w:rPr>
                            <w:rFonts w:ascii="Times New Roman"/>
                            <w:b/>
                            <w:color w:val="FFFFFF"/>
                            <w:spacing w:val="-2"/>
                            <w:sz w:val="46"/>
                          </w:rPr>
                          <w:t>personally</w:t>
                        </w:r>
                      </w:p>
                      <w:p>
                        <w:pPr>
                          <w:spacing w:line="249" w:lineRule="auto" w:before="23"/>
                          <w:ind w:left="5245" w:right="1079" w:hanging="22"/>
                          <w:jc w:val="left"/>
                          <w:rPr>
                            <w:rFonts w:ascii="Times New Roman"/>
                            <w:b/>
                            <w:sz w:val="46"/>
                          </w:rPr>
                        </w:pPr>
                        <w:r>
                          <w:rPr>
                            <w:rFonts w:ascii="Times New Roman"/>
                            <w:b/>
                            <w:color w:val="FFFFFF"/>
                            <w:w w:val="115"/>
                            <w:sz w:val="46"/>
                          </w:rPr>
                          <w:t>liable if I </w:t>
                        </w:r>
                        <w:r>
                          <w:rPr>
                            <w:rFonts w:ascii="Times New Roman"/>
                            <w:b/>
                            <w:color w:val="FFFFFF"/>
                            <w:spacing w:val="-4"/>
                            <w:w w:val="115"/>
                            <w:sz w:val="46"/>
                          </w:rPr>
                          <w:t>default</w:t>
                        </w:r>
                        <w:r>
                          <w:rPr>
                            <w:rFonts w:ascii="Times New Roman"/>
                            <w:b/>
                            <w:color w:val="FFFFFF"/>
                            <w:spacing w:val="-41"/>
                            <w:w w:val="115"/>
                            <w:sz w:val="46"/>
                          </w:rPr>
                          <w:t> </w:t>
                        </w:r>
                        <w:r>
                          <w:rPr>
                            <w:rFonts w:ascii="Times New Roman"/>
                            <w:b/>
                            <w:color w:val="FFFFFF"/>
                            <w:spacing w:val="-4"/>
                            <w:w w:val="115"/>
                            <w:sz w:val="46"/>
                          </w:rPr>
                          <w:t>on</w:t>
                        </w:r>
                        <w:r>
                          <w:rPr>
                            <w:rFonts w:ascii="Times New Roman"/>
                            <w:b/>
                            <w:color w:val="FFFFFF"/>
                            <w:spacing w:val="-40"/>
                            <w:w w:val="115"/>
                            <w:sz w:val="46"/>
                          </w:rPr>
                          <w:t> </w:t>
                        </w:r>
                        <w:r>
                          <w:rPr>
                            <w:rFonts w:ascii="Times New Roman"/>
                            <w:b/>
                            <w:color w:val="FFFFFF"/>
                            <w:spacing w:val="-4"/>
                            <w:w w:val="115"/>
                            <w:sz w:val="46"/>
                          </w:rPr>
                          <w:t>my</w:t>
                        </w:r>
                      </w:p>
                      <w:p>
                        <w:pPr>
                          <w:spacing w:before="4"/>
                          <w:ind w:left="6073" w:right="0" w:firstLine="0"/>
                          <w:jc w:val="left"/>
                          <w:rPr>
                            <w:rFonts w:ascii="Times New Roman"/>
                            <w:b/>
                            <w:sz w:val="46"/>
                          </w:rPr>
                        </w:pPr>
                        <w:r>
                          <w:rPr>
                            <w:rFonts w:ascii="Times New Roman"/>
                            <w:b/>
                            <w:color w:val="FFFFFF"/>
                            <w:spacing w:val="-2"/>
                            <w:w w:val="115"/>
                            <w:sz w:val="46"/>
                          </w:rPr>
                          <w:t>mortgage?</w:t>
                        </w:r>
                      </w:p>
                    </w:txbxContent>
                  </v:textbox>
                  <w10:wrap type="none"/>
                </v:shape>
              </v:group>
            </w:pict>
          </mc:Fallback>
        </mc:AlternateContent>
      </w:r>
      <w:r>
        <w:rPr>
          <w:rFonts w:ascii="Times New Roman"/>
        </w:rPr>
      </w:r>
    </w:p>
    <w:p>
      <w:pPr>
        <w:pStyle w:val="BodyText"/>
        <w:spacing w:before="5"/>
        <w:ind w:left="0"/>
        <w:jc w:val="left"/>
        <w:rPr>
          <w:rFonts w:ascii="Times New Roman"/>
          <w:sz w:val="19"/>
        </w:rPr>
      </w:pPr>
    </w:p>
    <w:p>
      <w:pPr>
        <w:spacing w:after="0"/>
        <w:jc w:val="left"/>
        <w:rPr>
          <w:rFonts w:ascii="Times New Roman"/>
          <w:sz w:val="19"/>
        </w:rPr>
        <w:sectPr>
          <w:type w:val="continuous"/>
          <w:pgSz w:w="12240" w:h="15840"/>
          <w:pgMar w:top="720" w:bottom="280" w:left="620" w:right="600"/>
        </w:sectPr>
      </w:pPr>
    </w:p>
    <w:p>
      <w:pPr>
        <w:pStyle w:val="BodyText"/>
        <w:spacing w:before="94"/>
        <w:ind w:left="796" w:right="38"/>
      </w:pPr>
      <w:r>
        <w:rPr/>
        <mc:AlternateContent>
          <mc:Choice Requires="wps">
            <w:drawing>
              <wp:anchor distT="0" distB="0" distL="0" distR="0" allowOverlap="1" layoutInCell="1" locked="0" behindDoc="1" simplePos="0" relativeHeight="487549440">
                <wp:simplePos x="0" y="0"/>
                <wp:positionH relativeFrom="page">
                  <wp:posOffset>458216</wp:posOffset>
                </wp:positionH>
                <wp:positionV relativeFrom="paragraph">
                  <wp:posOffset>25397</wp:posOffset>
                </wp:positionV>
                <wp:extent cx="349885" cy="3702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9885" cy="370205"/>
                        </a:xfrm>
                        <a:prstGeom prst="rect">
                          <a:avLst/>
                        </a:prstGeom>
                      </wps:spPr>
                      <wps:txbx>
                        <w:txbxContent>
                          <w:p>
                            <w:pPr>
                              <w:spacing w:line="582" w:lineRule="exact" w:before="0"/>
                              <w:ind w:left="0" w:right="0" w:firstLine="0"/>
                              <w:jc w:val="left"/>
                              <w:rPr>
                                <w:b/>
                                <w:sz w:val="52"/>
                              </w:rPr>
                            </w:pPr>
                            <w:r>
                              <w:rPr>
                                <w:b/>
                                <w:color w:val="0092C8"/>
                                <w:spacing w:val="-5"/>
                                <w:sz w:val="52"/>
                              </w:rPr>
                              <w:t>A:</w:t>
                            </w:r>
                          </w:p>
                        </w:txbxContent>
                      </wps:txbx>
                      <wps:bodyPr wrap="square" lIns="0" tIns="0" rIns="0" bIns="0" rtlCol="0">
                        <a:noAutofit/>
                      </wps:bodyPr>
                    </wps:wsp>
                  </a:graphicData>
                </a:graphic>
              </wp:anchor>
            </w:drawing>
          </mc:Choice>
          <mc:Fallback>
            <w:pict>
              <v:shape style="position:absolute;margin-left:36.080002pt;margin-top:1.999823pt;width:27.55pt;height:29.15pt;mso-position-horizontal-relative:page;mso-position-vertical-relative:paragraph;z-index:-15767040" type="#_x0000_t202" id="docshape5" filled="false" stroked="false">
                <v:textbox inset="0,0,0,0">
                  <w:txbxContent>
                    <w:p>
                      <w:pPr>
                        <w:spacing w:line="582" w:lineRule="exact" w:before="0"/>
                        <w:ind w:left="0" w:right="0" w:firstLine="0"/>
                        <w:jc w:val="left"/>
                        <w:rPr>
                          <w:b/>
                          <w:sz w:val="52"/>
                        </w:rPr>
                      </w:pPr>
                      <w:r>
                        <w:rPr>
                          <w:b/>
                          <w:color w:val="0092C8"/>
                          <w:spacing w:val="-5"/>
                          <w:sz w:val="52"/>
                        </w:rPr>
                        <w:t>A:</w:t>
                      </w:r>
                    </w:p>
                  </w:txbxContent>
                </v:textbox>
                <w10:wrap type="none"/>
              </v:shape>
            </w:pict>
          </mc:Fallback>
        </mc:AlternateContent>
      </w:r>
      <w:r>
        <w:rPr>
          <w:color w:val="231F20"/>
        </w:rPr>
        <w:t>The</w:t>
      </w:r>
      <w:r>
        <w:rPr>
          <w:color w:val="231F20"/>
          <w:spacing w:val="-14"/>
        </w:rPr>
        <w:t> </w:t>
      </w:r>
      <w:r>
        <w:rPr>
          <w:color w:val="231F20"/>
        </w:rPr>
        <w:t>primary</w:t>
      </w:r>
      <w:r>
        <w:rPr>
          <w:color w:val="231F20"/>
          <w:spacing w:val="-14"/>
        </w:rPr>
        <w:t> </w:t>
      </w:r>
      <w:r>
        <w:rPr>
          <w:color w:val="231F20"/>
        </w:rPr>
        <w:t>source</w:t>
      </w:r>
      <w:r>
        <w:rPr>
          <w:color w:val="231F20"/>
          <w:spacing w:val="-14"/>
        </w:rPr>
        <w:t> </w:t>
      </w:r>
      <w:r>
        <w:rPr>
          <w:color w:val="231F20"/>
        </w:rPr>
        <w:t>of</w:t>
      </w:r>
      <w:r>
        <w:rPr>
          <w:color w:val="231F20"/>
          <w:spacing w:val="-14"/>
        </w:rPr>
        <w:t> </w:t>
      </w:r>
      <w:r>
        <w:rPr>
          <w:color w:val="231F20"/>
        </w:rPr>
        <w:t>a</w:t>
      </w:r>
      <w:r>
        <w:rPr>
          <w:color w:val="231F20"/>
          <w:spacing w:val="-14"/>
        </w:rPr>
        <w:t> </w:t>
      </w:r>
      <w:r>
        <w:rPr>
          <w:color w:val="231F20"/>
        </w:rPr>
        <w:t>mortgage</w:t>
      </w:r>
      <w:r>
        <w:rPr>
          <w:color w:val="231F20"/>
          <w:spacing w:val="-14"/>
        </w:rPr>
        <w:t> </w:t>
      </w:r>
      <w:r>
        <w:rPr>
          <w:color w:val="231F20"/>
        </w:rPr>
        <w:t>lender’s</w:t>
      </w:r>
      <w:r>
        <w:rPr>
          <w:color w:val="231F20"/>
          <w:spacing w:val="-14"/>
        </w:rPr>
        <w:t> </w:t>
      </w:r>
      <w:r>
        <w:rPr>
          <w:color w:val="231F20"/>
        </w:rPr>
        <w:t>recovery in</w:t>
      </w:r>
      <w:r>
        <w:rPr>
          <w:color w:val="231F20"/>
          <w:spacing w:val="6"/>
        </w:rPr>
        <w:t> </w:t>
      </w:r>
      <w:r>
        <w:rPr>
          <w:color w:val="231F20"/>
        </w:rPr>
        <w:t>the</w:t>
      </w:r>
      <w:r>
        <w:rPr>
          <w:color w:val="231F20"/>
          <w:spacing w:val="8"/>
        </w:rPr>
        <w:t> </w:t>
      </w:r>
      <w:r>
        <w:rPr>
          <w:color w:val="231F20"/>
        </w:rPr>
        <w:t>event</w:t>
      </w:r>
      <w:r>
        <w:rPr>
          <w:color w:val="231F20"/>
          <w:spacing w:val="8"/>
        </w:rPr>
        <w:t> </w:t>
      </w:r>
      <w:r>
        <w:rPr>
          <w:color w:val="231F20"/>
        </w:rPr>
        <w:t>the</w:t>
      </w:r>
      <w:r>
        <w:rPr>
          <w:color w:val="231F20"/>
          <w:spacing w:val="8"/>
        </w:rPr>
        <w:t> </w:t>
      </w:r>
      <w:r>
        <w:rPr>
          <w:color w:val="231F20"/>
        </w:rPr>
        <w:t>property</w:t>
      </w:r>
      <w:r>
        <w:rPr>
          <w:color w:val="231F20"/>
          <w:spacing w:val="9"/>
        </w:rPr>
        <w:t> </w:t>
      </w:r>
      <w:r>
        <w:rPr>
          <w:color w:val="231F20"/>
        </w:rPr>
        <w:t>owner</w:t>
      </w:r>
      <w:r>
        <w:rPr>
          <w:color w:val="231F20"/>
          <w:spacing w:val="8"/>
        </w:rPr>
        <w:t> </w:t>
      </w:r>
      <w:r>
        <w:rPr>
          <w:color w:val="231F20"/>
        </w:rPr>
        <w:t>defaults</w:t>
      </w:r>
      <w:r>
        <w:rPr>
          <w:color w:val="231F20"/>
          <w:spacing w:val="8"/>
        </w:rPr>
        <w:t> </w:t>
      </w:r>
      <w:r>
        <w:rPr>
          <w:color w:val="231F20"/>
        </w:rPr>
        <w:t>is</w:t>
      </w:r>
      <w:r>
        <w:rPr>
          <w:color w:val="231F20"/>
          <w:spacing w:val="8"/>
        </w:rPr>
        <w:t> </w:t>
      </w:r>
      <w:r>
        <w:rPr>
          <w:color w:val="231F20"/>
        </w:rPr>
        <w:t>the</w:t>
      </w:r>
      <w:r>
        <w:rPr>
          <w:color w:val="231F20"/>
          <w:spacing w:val="9"/>
        </w:rPr>
        <w:t> </w:t>
      </w:r>
      <w:r>
        <w:rPr>
          <w:color w:val="231F20"/>
          <w:spacing w:val="-4"/>
        </w:rPr>
        <w:t>real</w:t>
      </w:r>
    </w:p>
    <w:p>
      <w:pPr>
        <w:pStyle w:val="BodyText"/>
        <w:spacing w:before="0"/>
      </w:pPr>
      <w:r>
        <w:rPr>
          <w:color w:val="231F20"/>
        </w:rPr>
        <w:t>estate</w:t>
      </w:r>
      <w:r>
        <w:rPr>
          <w:color w:val="231F20"/>
          <w:spacing w:val="-2"/>
        </w:rPr>
        <w:t> </w:t>
      </w:r>
      <w:r>
        <w:rPr>
          <w:color w:val="231F20"/>
        </w:rPr>
        <w:t>held</w:t>
      </w:r>
      <w:r>
        <w:rPr>
          <w:color w:val="231F20"/>
          <w:spacing w:val="-1"/>
        </w:rPr>
        <w:t> </w:t>
      </w:r>
      <w:r>
        <w:rPr>
          <w:color w:val="231F20"/>
        </w:rPr>
        <w:t>as</w:t>
      </w:r>
      <w:r>
        <w:rPr>
          <w:color w:val="231F20"/>
          <w:spacing w:val="-2"/>
        </w:rPr>
        <w:t> </w:t>
      </w:r>
      <w:r>
        <w:rPr>
          <w:color w:val="231F20"/>
        </w:rPr>
        <w:t>collateral,</w:t>
      </w:r>
      <w:r>
        <w:rPr>
          <w:color w:val="231F20"/>
          <w:spacing w:val="-1"/>
        </w:rPr>
        <w:t> </w:t>
      </w:r>
      <w:r>
        <w:rPr>
          <w:color w:val="231F20"/>
        </w:rPr>
        <w:t>not</w:t>
      </w:r>
      <w:r>
        <w:rPr>
          <w:color w:val="231F20"/>
          <w:spacing w:val="-2"/>
        </w:rPr>
        <w:t> </w:t>
      </w:r>
      <w:r>
        <w:rPr>
          <w:color w:val="231F20"/>
        </w:rPr>
        <w:t>the</w:t>
      </w:r>
      <w:r>
        <w:rPr>
          <w:color w:val="231F20"/>
          <w:spacing w:val="-1"/>
        </w:rPr>
        <w:t> </w:t>
      </w:r>
      <w:r>
        <w:rPr>
          <w:color w:val="231F20"/>
        </w:rPr>
        <w:t>owner</w:t>
      </w:r>
      <w:r>
        <w:rPr>
          <w:color w:val="231F20"/>
          <w:spacing w:val="-1"/>
        </w:rPr>
        <w:t> </w:t>
      </w:r>
      <w:r>
        <w:rPr>
          <w:color w:val="231F20"/>
          <w:spacing w:val="-2"/>
        </w:rPr>
        <w:t>personally.</w:t>
      </w:r>
    </w:p>
    <w:p>
      <w:pPr>
        <w:pStyle w:val="BodyText"/>
        <w:ind w:right="38"/>
      </w:pPr>
      <w:r>
        <w:rPr>
          <w:color w:val="231F20"/>
        </w:rPr>
        <w:t>To</w:t>
      </w:r>
      <w:r>
        <w:rPr>
          <w:color w:val="231F20"/>
          <w:spacing w:val="26"/>
        </w:rPr>
        <w:t> </w:t>
      </w:r>
      <w:r>
        <w:rPr>
          <w:color w:val="231F20"/>
        </w:rPr>
        <w:t>satisfy</w:t>
      </w:r>
      <w:r>
        <w:rPr>
          <w:color w:val="231F20"/>
          <w:spacing w:val="26"/>
        </w:rPr>
        <w:t> </w:t>
      </w:r>
      <w:r>
        <w:rPr>
          <w:color w:val="231F20"/>
        </w:rPr>
        <w:t>an</w:t>
      </w:r>
      <w:r>
        <w:rPr>
          <w:color w:val="231F20"/>
          <w:spacing w:val="26"/>
        </w:rPr>
        <w:t> </w:t>
      </w:r>
      <w:r>
        <w:rPr>
          <w:color w:val="231F20"/>
        </w:rPr>
        <w:t>unpaid</w:t>
      </w:r>
      <w:r>
        <w:rPr>
          <w:color w:val="231F20"/>
          <w:spacing w:val="26"/>
        </w:rPr>
        <w:t> </w:t>
      </w:r>
      <w:r>
        <w:rPr>
          <w:color w:val="231F20"/>
        </w:rPr>
        <w:t>mortgage</w:t>
      </w:r>
      <w:r>
        <w:rPr>
          <w:color w:val="231F20"/>
          <w:spacing w:val="26"/>
        </w:rPr>
        <w:t> </w:t>
      </w:r>
      <w:r>
        <w:rPr>
          <w:color w:val="231F20"/>
        </w:rPr>
        <w:t>debt,</w:t>
      </w:r>
      <w:r>
        <w:rPr>
          <w:color w:val="231F20"/>
          <w:spacing w:val="26"/>
        </w:rPr>
        <w:t> </w:t>
      </w:r>
      <w:r>
        <w:rPr>
          <w:color w:val="231F20"/>
        </w:rPr>
        <w:t>the</w:t>
      </w:r>
      <w:r>
        <w:rPr>
          <w:color w:val="231F20"/>
          <w:spacing w:val="26"/>
        </w:rPr>
        <w:t> </w:t>
      </w:r>
      <w:r>
        <w:rPr>
          <w:color w:val="231F20"/>
        </w:rPr>
        <w:t>lender</w:t>
      </w:r>
      <w:r>
        <w:rPr>
          <w:color w:val="231F20"/>
          <w:spacing w:val="26"/>
        </w:rPr>
        <w:t> </w:t>
      </w:r>
      <w:r>
        <w:rPr>
          <w:color w:val="231F20"/>
        </w:rPr>
        <w:t>is</w:t>
      </w:r>
      <w:r>
        <w:rPr>
          <w:color w:val="231F20"/>
          <w:spacing w:val="26"/>
        </w:rPr>
        <w:t> </w:t>
      </w:r>
      <w:r>
        <w:rPr>
          <w:color w:val="231F20"/>
        </w:rPr>
        <w:t>forced to first sell the secured property by completing one of two types of foreclosure sales to satisfy the amounts owed:</w:t>
      </w:r>
    </w:p>
    <w:p>
      <w:pPr>
        <w:pStyle w:val="ListParagraph"/>
        <w:numPr>
          <w:ilvl w:val="0"/>
          <w:numId w:val="1"/>
        </w:numPr>
        <w:tabs>
          <w:tab w:pos="730" w:val="left" w:leader="none"/>
        </w:tabs>
        <w:spacing w:line="240" w:lineRule="auto" w:before="90" w:after="0"/>
        <w:ind w:left="730" w:right="0" w:hanging="269"/>
        <w:jc w:val="both"/>
        <w:rPr>
          <w:sz w:val="20"/>
        </w:rPr>
      </w:pPr>
      <w:r>
        <w:rPr>
          <w:color w:val="231F20"/>
          <w:sz w:val="20"/>
        </w:rPr>
        <w:t>a</w:t>
      </w:r>
      <w:r>
        <w:rPr>
          <w:color w:val="231F20"/>
          <w:spacing w:val="-3"/>
          <w:sz w:val="20"/>
        </w:rPr>
        <w:t> </w:t>
      </w:r>
      <w:r>
        <w:rPr>
          <w:color w:val="231F20"/>
          <w:sz w:val="20"/>
        </w:rPr>
        <w:t>judicial</w:t>
      </w:r>
      <w:r>
        <w:rPr>
          <w:color w:val="231F20"/>
          <w:spacing w:val="-2"/>
          <w:sz w:val="20"/>
        </w:rPr>
        <w:t> </w:t>
      </w:r>
      <w:r>
        <w:rPr>
          <w:color w:val="231F20"/>
          <w:sz w:val="20"/>
        </w:rPr>
        <w:t>foreclosure;</w:t>
      </w:r>
      <w:r>
        <w:rPr>
          <w:color w:val="231F20"/>
          <w:spacing w:val="-2"/>
          <w:sz w:val="20"/>
        </w:rPr>
        <w:t> </w:t>
      </w:r>
      <w:r>
        <w:rPr>
          <w:color w:val="231F20"/>
          <w:spacing w:val="-5"/>
          <w:sz w:val="20"/>
        </w:rPr>
        <w:t>or</w:t>
      </w:r>
    </w:p>
    <w:p>
      <w:pPr>
        <w:pStyle w:val="ListParagraph"/>
        <w:numPr>
          <w:ilvl w:val="0"/>
          <w:numId w:val="1"/>
        </w:numPr>
        <w:tabs>
          <w:tab w:pos="730" w:val="left" w:leader="none"/>
        </w:tabs>
        <w:spacing w:line="240" w:lineRule="auto" w:before="90" w:after="0"/>
        <w:ind w:left="730" w:right="0" w:hanging="269"/>
        <w:jc w:val="both"/>
        <w:rPr>
          <w:sz w:val="20"/>
        </w:rPr>
      </w:pPr>
      <w:r>
        <w:rPr>
          <w:color w:val="231F20"/>
          <w:sz w:val="20"/>
        </w:rPr>
        <w:t>a</w:t>
      </w:r>
      <w:r>
        <w:rPr>
          <w:color w:val="231F20"/>
          <w:spacing w:val="-5"/>
          <w:sz w:val="20"/>
        </w:rPr>
        <w:t> </w:t>
      </w:r>
      <w:r>
        <w:rPr>
          <w:color w:val="231F20"/>
          <w:sz w:val="20"/>
        </w:rPr>
        <w:t>nonjudicial</w:t>
      </w:r>
      <w:r>
        <w:rPr>
          <w:color w:val="231F20"/>
          <w:spacing w:val="-5"/>
          <w:sz w:val="20"/>
        </w:rPr>
        <w:t> </w:t>
      </w:r>
      <w:r>
        <w:rPr>
          <w:color w:val="231F20"/>
          <w:spacing w:val="-2"/>
          <w:sz w:val="20"/>
        </w:rPr>
        <w:t>foreclosure.</w:t>
      </w:r>
    </w:p>
    <w:p>
      <w:pPr>
        <w:pStyle w:val="BodyText"/>
        <w:ind w:right="38"/>
      </w:pPr>
      <w:r>
        <w:rPr>
          <w:color w:val="231F20"/>
        </w:rPr>
        <w:t>Occasionally, the fair market value (FMV) of the property</w:t>
      </w:r>
      <w:r>
        <w:rPr>
          <w:color w:val="231F20"/>
          <w:spacing w:val="80"/>
        </w:rPr>
        <w:t> </w:t>
      </w:r>
      <w:r>
        <w:rPr>
          <w:color w:val="231F20"/>
        </w:rPr>
        <w:t>is insufficient to satisfy the debt through bidding at the foreclosure</w:t>
      </w:r>
      <w:r>
        <w:rPr>
          <w:color w:val="231F20"/>
          <w:spacing w:val="-14"/>
        </w:rPr>
        <w:t> </w:t>
      </w:r>
      <w:r>
        <w:rPr>
          <w:color w:val="231F20"/>
        </w:rPr>
        <w:t>sale.</w:t>
      </w:r>
      <w:r>
        <w:rPr>
          <w:color w:val="231F20"/>
          <w:spacing w:val="-14"/>
        </w:rPr>
        <w:t> </w:t>
      </w:r>
      <w:r>
        <w:rPr>
          <w:color w:val="231F20"/>
        </w:rPr>
        <w:t>If</w:t>
      </w:r>
      <w:r>
        <w:rPr>
          <w:color w:val="231F20"/>
          <w:spacing w:val="-14"/>
        </w:rPr>
        <w:t> </w:t>
      </w:r>
      <w:r>
        <w:rPr>
          <w:color w:val="231F20"/>
        </w:rPr>
        <w:t>the</w:t>
      </w:r>
      <w:r>
        <w:rPr>
          <w:color w:val="231F20"/>
          <w:spacing w:val="-14"/>
        </w:rPr>
        <w:t> </w:t>
      </w:r>
      <w:r>
        <w:rPr>
          <w:color w:val="231F20"/>
        </w:rPr>
        <w:t>high</w:t>
      </w:r>
      <w:r>
        <w:rPr>
          <w:color w:val="231F20"/>
          <w:spacing w:val="-14"/>
        </w:rPr>
        <w:t> </w:t>
      </w:r>
      <w:r>
        <w:rPr>
          <w:color w:val="231F20"/>
        </w:rPr>
        <w:t>bid</w:t>
      </w:r>
      <w:r>
        <w:rPr>
          <w:color w:val="231F20"/>
          <w:spacing w:val="-14"/>
        </w:rPr>
        <w:t> </w:t>
      </w:r>
      <w:r>
        <w:rPr>
          <w:color w:val="231F20"/>
        </w:rPr>
        <w:t>is</w:t>
      </w:r>
      <w:r>
        <w:rPr>
          <w:color w:val="231F20"/>
          <w:spacing w:val="-14"/>
        </w:rPr>
        <w:t> </w:t>
      </w:r>
      <w:r>
        <w:rPr>
          <w:color w:val="231F20"/>
        </w:rPr>
        <w:t>less</w:t>
      </w:r>
      <w:r>
        <w:rPr>
          <w:color w:val="231F20"/>
          <w:spacing w:val="-14"/>
        </w:rPr>
        <w:t> </w:t>
      </w:r>
      <w:r>
        <w:rPr>
          <w:color w:val="231F20"/>
        </w:rPr>
        <w:t>than</w:t>
      </w:r>
      <w:r>
        <w:rPr>
          <w:color w:val="231F20"/>
          <w:spacing w:val="-14"/>
        </w:rPr>
        <w:t> </w:t>
      </w:r>
      <w:r>
        <w:rPr>
          <w:color w:val="231F20"/>
        </w:rPr>
        <w:t>the</w:t>
      </w:r>
      <w:r>
        <w:rPr>
          <w:color w:val="231F20"/>
          <w:spacing w:val="-13"/>
        </w:rPr>
        <w:t> </w:t>
      </w:r>
      <w:r>
        <w:rPr>
          <w:color w:val="231F20"/>
        </w:rPr>
        <w:t>debt</w:t>
      </w:r>
      <w:r>
        <w:rPr>
          <w:color w:val="231F20"/>
          <w:spacing w:val="-14"/>
        </w:rPr>
        <w:t> </w:t>
      </w:r>
      <w:r>
        <w:rPr>
          <w:color w:val="231F20"/>
        </w:rPr>
        <w:t>owed</w:t>
      </w:r>
      <w:r>
        <w:rPr>
          <w:color w:val="231F20"/>
          <w:spacing w:val="-14"/>
        </w:rPr>
        <w:t> </w:t>
      </w:r>
      <w:r>
        <w:rPr>
          <w:color w:val="231F20"/>
        </w:rPr>
        <w:t>on the</w:t>
      </w:r>
      <w:r>
        <w:rPr>
          <w:color w:val="231F20"/>
          <w:spacing w:val="-4"/>
        </w:rPr>
        <w:t> </w:t>
      </w:r>
      <w:r>
        <w:rPr>
          <w:color w:val="231F20"/>
        </w:rPr>
        <w:t>mortgage,</w:t>
      </w:r>
      <w:r>
        <w:rPr>
          <w:color w:val="231F20"/>
          <w:spacing w:val="-4"/>
        </w:rPr>
        <w:t> </w:t>
      </w:r>
      <w:r>
        <w:rPr>
          <w:color w:val="231F20"/>
        </w:rPr>
        <w:t>the</w:t>
      </w:r>
      <w:r>
        <w:rPr>
          <w:color w:val="231F20"/>
          <w:spacing w:val="-4"/>
        </w:rPr>
        <w:t> </w:t>
      </w:r>
      <w:r>
        <w:rPr>
          <w:color w:val="231F20"/>
        </w:rPr>
        <w:t>lender</w:t>
      </w:r>
      <w:r>
        <w:rPr>
          <w:color w:val="231F20"/>
          <w:spacing w:val="-4"/>
        </w:rPr>
        <w:t> </w:t>
      </w:r>
      <w:r>
        <w:rPr>
          <w:color w:val="231F20"/>
        </w:rPr>
        <w:t>suffers</w:t>
      </w:r>
      <w:r>
        <w:rPr>
          <w:color w:val="231F20"/>
          <w:spacing w:val="-4"/>
        </w:rPr>
        <w:t> </w:t>
      </w:r>
      <w:r>
        <w:rPr>
          <w:color w:val="231F20"/>
        </w:rPr>
        <w:t>a</w:t>
      </w:r>
      <w:r>
        <w:rPr>
          <w:color w:val="231F20"/>
          <w:spacing w:val="-4"/>
        </w:rPr>
        <w:t> </w:t>
      </w:r>
      <w:r>
        <w:rPr>
          <w:color w:val="231F20"/>
        </w:rPr>
        <w:t>loss,</w:t>
      </w:r>
      <w:r>
        <w:rPr>
          <w:color w:val="231F20"/>
          <w:spacing w:val="-4"/>
        </w:rPr>
        <w:t> </w:t>
      </w:r>
      <w:r>
        <w:rPr>
          <w:color w:val="231F20"/>
        </w:rPr>
        <w:t>called</w:t>
      </w:r>
      <w:r>
        <w:rPr>
          <w:color w:val="231F20"/>
          <w:spacing w:val="-4"/>
        </w:rPr>
        <w:t> </w:t>
      </w:r>
      <w:r>
        <w:rPr>
          <w:color w:val="231F20"/>
        </w:rPr>
        <w:t>a</w:t>
      </w:r>
      <w:r>
        <w:rPr>
          <w:color w:val="231F20"/>
          <w:spacing w:val="-4"/>
        </w:rPr>
        <w:t> </w:t>
      </w:r>
      <w:r>
        <w:rPr>
          <w:color w:val="231F20"/>
        </w:rPr>
        <w:t>deficiency. However, to collect on a deficiency, the mortgage lender is very limited in California.</w:t>
      </w:r>
    </w:p>
    <w:p>
      <w:pPr>
        <w:pStyle w:val="BodyText"/>
        <w:ind w:right="38"/>
      </w:pPr>
      <w:r>
        <w:rPr>
          <w:color w:val="231F20"/>
        </w:rPr>
        <w:t>The most common type of foreclosure action in California</w:t>
      </w:r>
      <w:r>
        <w:rPr>
          <w:color w:val="231F20"/>
          <w:spacing w:val="40"/>
        </w:rPr>
        <w:t> </w:t>
      </w:r>
      <w:r>
        <w:rPr>
          <w:color w:val="231F20"/>
        </w:rPr>
        <w:t>is nonjudicial. When a lender completes a nonjudicial foreclosure sale though a trustee’s sale, they are barred from recovering their loss on the mortgage, except for intentional waste to the secured property.</w:t>
      </w:r>
    </w:p>
    <w:p>
      <w:pPr>
        <w:pStyle w:val="BodyText"/>
        <w:ind w:right="38"/>
      </w:pPr>
      <w:r>
        <w:rPr>
          <w:color w:val="231F20"/>
        </w:rPr>
        <w:t>Further, California has established anti-deficiency laws which bar lenders from collecting losses due to any type</w:t>
      </w:r>
      <w:r>
        <w:rPr>
          <w:color w:val="231F20"/>
          <w:spacing w:val="80"/>
          <w:w w:val="150"/>
        </w:rPr>
        <w:t> </w:t>
      </w:r>
      <w:r>
        <w:rPr>
          <w:color w:val="231F20"/>
        </w:rPr>
        <w:t>of foreclosure sale on a nonrecourse debt, also called purchase-money debt.</w:t>
      </w:r>
    </w:p>
    <w:p>
      <w:pPr>
        <w:pStyle w:val="BodyText"/>
      </w:pPr>
      <w:r>
        <w:rPr>
          <w:color w:val="231F20"/>
        </w:rPr>
        <w:t>Nonrecourse</w:t>
      </w:r>
      <w:r>
        <w:rPr>
          <w:color w:val="231F20"/>
          <w:spacing w:val="-5"/>
        </w:rPr>
        <w:t> </w:t>
      </w:r>
      <w:r>
        <w:rPr>
          <w:color w:val="231F20"/>
        </w:rPr>
        <w:t>debt</w:t>
      </w:r>
      <w:r>
        <w:rPr>
          <w:color w:val="231F20"/>
          <w:spacing w:val="-5"/>
        </w:rPr>
        <w:t> </w:t>
      </w:r>
      <w:r>
        <w:rPr>
          <w:color w:val="231F20"/>
          <w:spacing w:val="-2"/>
        </w:rPr>
        <w:t>includes:</w:t>
      </w:r>
    </w:p>
    <w:p>
      <w:pPr>
        <w:pStyle w:val="ListParagraph"/>
        <w:numPr>
          <w:ilvl w:val="0"/>
          <w:numId w:val="1"/>
        </w:numPr>
        <w:tabs>
          <w:tab w:pos="731" w:val="left" w:leader="none"/>
        </w:tabs>
        <w:spacing w:line="240" w:lineRule="auto" w:before="90" w:after="0"/>
        <w:ind w:left="731" w:right="38" w:hanging="270"/>
        <w:jc w:val="both"/>
        <w:rPr>
          <w:sz w:val="20"/>
        </w:rPr>
      </w:pPr>
      <w:r>
        <w:rPr>
          <w:color w:val="231F20"/>
          <w:sz w:val="20"/>
        </w:rPr>
        <w:t>purchase-assist financing secured by a one-to-four unit residential property occupied by the buyer;</w:t>
      </w:r>
    </w:p>
    <w:p>
      <w:pPr>
        <w:pStyle w:val="ListParagraph"/>
        <w:numPr>
          <w:ilvl w:val="0"/>
          <w:numId w:val="1"/>
        </w:numPr>
        <w:tabs>
          <w:tab w:pos="731" w:val="left" w:leader="none"/>
        </w:tabs>
        <w:spacing w:line="240" w:lineRule="auto" w:before="91" w:after="0"/>
        <w:ind w:left="731" w:right="38" w:hanging="270"/>
        <w:jc w:val="both"/>
        <w:rPr>
          <w:sz w:val="20"/>
        </w:rPr>
      </w:pPr>
      <w:r>
        <w:rPr>
          <w:color w:val="231F20"/>
          <w:sz w:val="20"/>
        </w:rPr>
        <w:t>carryback</w:t>
      </w:r>
      <w:r>
        <w:rPr>
          <w:color w:val="231F20"/>
          <w:spacing w:val="-13"/>
          <w:sz w:val="20"/>
        </w:rPr>
        <w:t> </w:t>
      </w:r>
      <w:r>
        <w:rPr>
          <w:color w:val="231F20"/>
          <w:sz w:val="20"/>
        </w:rPr>
        <w:t>seller</w:t>
      </w:r>
      <w:r>
        <w:rPr>
          <w:color w:val="231F20"/>
          <w:spacing w:val="-13"/>
          <w:sz w:val="20"/>
        </w:rPr>
        <w:t> </w:t>
      </w:r>
      <w:r>
        <w:rPr>
          <w:color w:val="231F20"/>
          <w:sz w:val="20"/>
        </w:rPr>
        <w:t>financing</w:t>
      </w:r>
      <w:r>
        <w:rPr>
          <w:color w:val="231F20"/>
          <w:spacing w:val="-13"/>
          <w:sz w:val="20"/>
        </w:rPr>
        <w:t> </w:t>
      </w:r>
      <w:r>
        <w:rPr>
          <w:color w:val="231F20"/>
          <w:sz w:val="20"/>
        </w:rPr>
        <w:t>evidencing</w:t>
      </w:r>
      <w:r>
        <w:rPr>
          <w:color w:val="231F20"/>
          <w:spacing w:val="-13"/>
          <w:sz w:val="20"/>
        </w:rPr>
        <w:t> </w:t>
      </w:r>
      <w:r>
        <w:rPr>
          <w:color w:val="231F20"/>
          <w:sz w:val="20"/>
        </w:rPr>
        <w:t>the</w:t>
      </w:r>
      <w:r>
        <w:rPr>
          <w:color w:val="231F20"/>
          <w:spacing w:val="-13"/>
          <w:sz w:val="20"/>
        </w:rPr>
        <w:t> </w:t>
      </w:r>
      <w:r>
        <w:rPr>
          <w:color w:val="231F20"/>
          <w:sz w:val="20"/>
        </w:rPr>
        <w:t>installment sale</w:t>
      </w:r>
      <w:r>
        <w:rPr>
          <w:color w:val="231F20"/>
          <w:spacing w:val="-6"/>
          <w:sz w:val="20"/>
        </w:rPr>
        <w:t> </w:t>
      </w:r>
      <w:r>
        <w:rPr>
          <w:color w:val="231F20"/>
          <w:sz w:val="20"/>
        </w:rPr>
        <w:t>of</w:t>
      </w:r>
      <w:r>
        <w:rPr>
          <w:color w:val="231F20"/>
          <w:spacing w:val="-6"/>
          <w:sz w:val="20"/>
        </w:rPr>
        <w:t> </w:t>
      </w:r>
      <w:r>
        <w:rPr>
          <w:color w:val="231F20"/>
          <w:sz w:val="20"/>
        </w:rPr>
        <w:t>any</w:t>
      </w:r>
      <w:r>
        <w:rPr>
          <w:color w:val="231F20"/>
          <w:spacing w:val="-6"/>
          <w:sz w:val="20"/>
        </w:rPr>
        <w:t> </w:t>
      </w:r>
      <w:r>
        <w:rPr>
          <w:color w:val="231F20"/>
          <w:sz w:val="20"/>
        </w:rPr>
        <w:t>type</w:t>
      </w:r>
      <w:r>
        <w:rPr>
          <w:color w:val="231F20"/>
          <w:spacing w:val="-6"/>
          <w:sz w:val="20"/>
        </w:rPr>
        <w:t> </w:t>
      </w:r>
      <w:r>
        <w:rPr>
          <w:color w:val="231F20"/>
          <w:sz w:val="20"/>
        </w:rPr>
        <w:t>of</w:t>
      </w:r>
      <w:r>
        <w:rPr>
          <w:color w:val="231F20"/>
          <w:spacing w:val="-6"/>
          <w:sz w:val="20"/>
        </w:rPr>
        <w:t> </w:t>
      </w:r>
      <w:r>
        <w:rPr>
          <w:color w:val="231F20"/>
          <w:sz w:val="20"/>
        </w:rPr>
        <w:t>property</w:t>
      </w:r>
      <w:r>
        <w:rPr>
          <w:color w:val="231F20"/>
          <w:spacing w:val="-6"/>
          <w:sz w:val="20"/>
        </w:rPr>
        <w:t> </w:t>
      </w:r>
      <w:r>
        <w:rPr>
          <w:color w:val="231F20"/>
          <w:sz w:val="20"/>
        </w:rPr>
        <w:t>which</w:t>
      </w:r>
      <w:r>
        <w:rPr>
          <w:color w:val="231F20"/>
          <w:spacing w:val="-6"/>
          <w:sz w:val="20"/>
        </w:rPr>
        <w:t> </w:t>
      </w:r>
      <w:r>
        <w:rPr>
          <w:color w:val="231F20"/>
          <w:sz w:val="20"/>
        </w:rPr>
        <w:t>becomes</w:t>
      </w:r>
      <w:r>
        <w:rPr>
          <w:color w:val="231F20"/>
          <w:spacing w:val="-6"/>
          <w:sz w:val="20"/>
        </w:rPr>
        <w:t> </w:t>
      </w:r>
      <w:r>
        <w:rPr>
          <w:color w:val="231F20"/>
          <w:sz w:val="20"/>
        </w:rPr>
        <w:t>the</w:t>
      </w:r>
      <w:r>
        <w:rPr>
          <w:color w:val="231F20"/>
          <w:spacing w:val="-6"/>
          <w:sz w:val="20"/>
        </w:rPr>
        <w:t> </w:t>
      </w:r>
      <w:r>
        <w:rPr>
          <w:color w:val="231F20"/>
          <w:sz w:val="20"/>
        </w:rPr>
        <w:t>sole security for the debt; and</w:t>
      </w:r>
    </w:p>
    <w:p>
      <w:pPr>
        <w:pStyle w:val="ListParagraph"/>
        <w:numPr>
          <w:ilvl w:val="0"/>
          <w:numId w:val="1"/>
        </w:numPr>
        <w:tabs>
          <w:tab w:pos="731" w:val="left" w:leader="none"/>
        </w:tabs>
        <w:spacing w:line="240" w:lineRule="auto" w:before="94" w:after="0"/>
        <w:ind w:left="731" w:right="117" w:hanging="270"/>
        <w:jc w:val="both"/>
        <w:rPr>
          <w:sz w:val="20"/>
        </w:rPr>
      </w:pPr>
      <w:r>
        <w:rPr/>
        <w:br w:type="column"/>
      </w:r>
      <w:r>
        <w:rPr>
          <w:color w:val="231F20"/>
          <w:sz w:val="20"/>
        </w:rPr>
        <w:t>refinanced purchase-money mortgages, to the extent the funding is applied to discharge the purchase-money</w:t>
      </w:r>
      <w:r>
        <w:rPr>
          <w:color w:val="231F20"/>
          <w:spacing w:val="-14"/>
          <w:sz w:val="20"/>
        </w:rPr>
        <w:t> </w:t>
      </w:r>
      <w:r>
        <w:rPr>
          <w:color w:val="231F20"/>
          <w:sz w:val="20"/>
        </w:rPr>
        <w:t>mortgage</w:t>
      </w:r>
      <w:r>
        <w:rPr>
          <w:color w:val="231F20"/>
          <w:spacing w:val="-14"/>
          <w:sz w:val="20"/>
        </w:rPr>
        <w:t> </w:t>
      </w:r>
      <w:r>
        <w:rPr>
          <w:color w:val="231F20"/>
          <w:sz w:val="20"/>
        </w:rPr>
        <w:t>(including</w:t>
      </w:r>
      <w:r>
        <w:rPr>
          <w:color w:val="231F20"/>
          <w:spacing w:val="-14"/>
          <w:sz w:val="20"/>
        </w:rPr>
        <w:t> </w:t>
      </w:r>
      <w:r>
        <w:rPr>
          <w:color w:val="231F20"/>
          <w:sz w:val="20"/>
        </w:rPr>
        <w:t>fees</w:t>
      </w:r>
      <w:r>
        <w:rPr>
          <w:color w:val="231F20"/>
          <w:spacing w:val="-14"/>
          <w:sz w:val="20"/>
        </w:rPr>
        <w:t> </w:t>
      </w:r>
      <w:r>
        <w:rPr>
          <w:color w:val="231F20"/>
          <w:sz w:val="20"/>
        </w:rPr>
        <w:t>and</w:t>
      </w:r>
      <w:r>
        <w:rPr>
          <w:color w:val="231F20"/>
          <w:spacing w:val="-14"/>
          <w:sz w:val="20"/>
        </w:rPr>
        <w:t> </w:t>
      </w:r>
      <w:r>
        <w:rPr>
          <w:color w:val="231F20"/>
          <w:sz w:val="20"/>
        </w:rPr>
        <w:t>costs associated with the refinance transaction).</w:t>
      </w:r>
    </w:p>
    <w:p>
      <w:pPr>
        <w:pStyle w:val="BodyText"/>
        <w:ind w:right="117"/>
      </w:pPr>
      <w:r>
        <w:rPr>
          <w:color w:val="231F20"/>
        </w:rPr>
        <w:t>Every other type of mortgage is a recourse debt. The homeowner with a recourse mortgage is personally responsible for the payment of the debt. Recourse debt </w:t>
      </w:r>
      <w:r>
        <w:rPr>
          <w:color w:val="231F20"/>
          <w:spacing w:val="-2"/>
        </w:rPr>
        <w:t>includes:</w:t>
      </w:r>
    </w:p>
    <w:p>
      <w:pPr>
        <w:pStyle w:val="ListParagraph"/>
        <w:numPr>
          <w:ilvl w:val="0"/>
          <w:numId w:val="1"/>
        </w:numPr>
        <w:tabs>
          <w:tab w:pos="731" w:val="left" w:leader="none"/>
        </w:tabs>
        <w:spacing w:line="240" w:lineRule="auto" w:before="90" w:after="0"/>
        <w:ind w:left="731" w:right="118" w:hanging="270"/>
        <w:jc w:val="both"/>
        <w:rPr>
          <w:sz w:val="20"/>
        </w:rPr>
      </w:pPr>
      <w:r>
        <w:rPr>
          <w:color w:val="231F20"/>
          <w:sz w:val="20"/>
        </w:rPr>
        <w:t>business-purpose</w:t>
      </w:r>
      <w:r>
        <w:rPr>
          <w:color w:val="231F20"/>
          <w:spacing w:val="-14"/>
          <w:sz w:val="20"/>
        </w:rPr>
        <w:t> </w:t>
      </w:r>
      <w:r>
        <w:rPr>
          <w:color w:val="231F20"/>
          <w:sz w:val="20"/>
        </w:rPr>
        <w:t>mortgages</w:t>
      </w:r>
      <w:r>
        <w:rPr>
          <w:color w:val="231F20"/>
          <w:spacing w:val="-14"/>
          <w:sz w:val="20"/>
        </w:rPr>
        <w:t> </w:t>
      </w:r>
      <w:r>
        <w:rPr>
          <w:color w:val="231F20"/>
          <w:sz w:val="20"/>
        </w:rPr>
        <w:t>secured</w:t>
      </w:r>
      <w:r>
        <w:rPr>
          <w:color w:val="231F20"/>
          <w:spacing w:val="-14"/>
          <w:sz w:val="20"/>
        </w:rPr>
        <w:t> </w:t>
      </w:r>
      <w:r>
        <w:rPr>
          <w:color w:val="231F20"/>
          <w:sz w:val="20"/>
        </w:rPr>
        <w:t>by</w:t>
      </w:r>
      <w:r>
        <w:rPr>
          <w:color w:val="231F20"/>
          <w:spacing w:val="-14"/>
          <w:sz w:val="20"/>
        </w:rPr>
        <w:t> </w:t>
      </w:r>
      <w:r>
        <w:rPr>
          <w:color w:val="231F20"/>
          <w:sz w:val="20"/>
        </w:rPr>
        <w:t>any</w:t>
      </w:r>
      <w:r>
        <w:rPr>
          <w:color w:val="231F20"/>
          <w:spacing w:val="-14"/>
          <w:sz w:val="20"/>
        </w:rPr>
        <w:t> </w:t>
      </w:r>
      <w:r>
        <w:rPr>
          <w:color w:val="231F20"/>
          <w:sz w:val="20"/>
        </w:rPr>
        <w:t>type</w:t>
      </w:r>
      <w:r>
        <w:rPr>
          <w:color w:val="231F20"/>
          <w:spacing w:val="-14"/>
          <w:sz w:val="20"/>
        </w:rPr>
        <w:t> </w:t>
      </w:r>
      <w:r>
        <w:rPr>
          <w:color w:val="231F20"/>
          <w:sz w:val="20"/>
        </w:rPr>
        <w:t>of property; and</w:t>
      </w:r>
    </w:p>
    <w:p>
      <w:pPr>
        <w:pStyle w:val="ListParagraph"/>
        <w:numPr>
          <w:ilvl w:val="0"/>
          <w:numId w:val="1"/>
        </w:numPr>
        <w:tabs>
          <w:tab w:pos="730" w:val="left" w:leader="none"/>
        </w:tabs>
        <w:spacing w:line="240" w:lineRule="auto" w:before="90" w:after="0"/>
        <w:ind w:left="730" w:right="0" w:hanging="269"/>
        <w:jc w:val="both"/>
        <w:rPr>
          <w:sz w:val="20"/>
        </w:rPr>
      </w:pPr>
      <w:r>
        <w:rPr>
          <w:color w:val="231F20"/>
          <w:sz w:val="20"/>
        </w:rPr>
        <w:t>all</w:t>
      </w:r>
      <w:r>
        <w:rPr>
          <w:color w:val="231F20"/>
          <w:spacing w:val="-4"/>
          <w:sz w:val="20"/>
        </w:rPr>
        <w:t> </w:t>
      </w:r>
      <w:r>
        <w:rPr>
          <w:color w:val="231F20"/>
          <w:sz w:val="20"/>
        </w:rPr>
        <w:t>mortgages</w:t>
      </w:r>
      <w:r>
        <w:rPr>
          <w:color w:val="231F20"/>
          <w:spacing w:val="-2"/>
          <w:sz w:val="20"/>
        </w:rPr>
        <w:t> </w:t>
      </w:r>
      <w:r>
        <w:rPr>
          <w:color w:val="231F20"/>
          <w:sz w:val="20"/>
        </w:rPr>
        <w:t>secured</w:t>
      </w:r>
      <w:r>
        <w:rPr>
          <w:color w:val="231F20"/>
          <w:spacing w:val="-2"/>
          <w:sz w:val="20"/>
        </w:rPr>
        <w:t> </w:t>
      </w:r>
      <w:r>
        <w:rPr>
          <w:color w:val="231F20"/>
          <w:sz w:val="20"/>
        </w:rPr>
        <w:t>by</w:t>
      </w:r>
      <w:r>
        <w:rPr>
          <w:color w:val="231F20"/>
          <w:spacing w:val="-2"/>
          <w:sz w:val="20"/>
        </w:rPr>
        <w:t> </w:t>
      </w:r>
      <w:r>
        <w:rPr>
          <w:color w:val="231F20"/>
          <w:spacing w:val="-5"/>
          <w:sz w:val="20"/>
        </w:rPr>
        <w:t>a:</w:t>
      </w:r>
    </w:p>
    <w:p>
      <w:pPr>
        <w:pStyle w:val="ListParagraph"/>
        <w:numPr>
          <w:ilvl w:val="1"/>
          <w:numId w:val="1"/>
        </w:numPr>
        <w:tabs>
          <w:tab w:pos="1000" w:val="left" w:leader="none"/>
        </w:tabs>
        <w:spacing w:line="240" w:lineRule="auto" w:before="90" w:after="0"/>
        <w:ind w:left="1000" w:right="0" w:hanging="179"/>
        <w:jc w:val="left"/>
        <w:rPr>
          <w:sz w:val="20"/>
        </w:rPr>
      </w:pPr>
      <w:r>
        <w:rPr>
          <w:color w:val="231F20"/>
          <w:sz w:val="20"/>
        </w:rPr>
        <w:t>second</w:t>
      </w:r>
      <w:r>
        <w:rPr>
          <w:color w:val="231F20"/>
          <w:spacing w:val="-5"/>
          <w:sz w:val="20"/>
        </w:rPr>
        <w:t> </w:t>
      </w:r>
      <w:r>
        <w:rPr>
          <w:color w:val="231F20"/>
          <w:spacing w:val="-2"/>
          <w:sz w:val="20"/>
        </w:rPr>
        <w:t>home;</w:t>
      </w:r>
    </w:p>
    <w:p>
      <w:pPr>
        <w:pStyle w:val="ListParagraph"/>
        <w:numPr>
          <w:ilvl w:val="1"/>
          <w:numId w:val="1"/>
        </w:numPr>
        <w:tabs>
          <w:tab w:pos="1000" w:val="left" w:leader="none"/>
        </w:tabs>
        <w:spacing w:line="240" w:lineRule="auto" w:before="90" w:after="0"/>
        <w:ind w:left="1000" w:right="0" w:hanging="179"/>
        <w:jc w:val="left"/>
        <w:rPr>
          <w:sz w:val="20"/>
        </w:rPr>
      </w:pPr>
      <w:r>
        <w:rPr>
          <w:color w:val="231F20"/>
          <w:sz w:val="20"/>
        </w:rPr>
        <w:t>property</w:t>
      </w:r>
      <w:r>
        <w:rPr>
          <w:color w:val="231F20"/>
          <w:spacing w:val="-5"/>
          <w:sz w:val="20"/>
        </w:rPr>
        <w:t> </w:t>
      </w:r>
      <w:r>
        <w:rPr>
          <w:color w:val="231F20"/>
          <w:sz w:val="20"/>
        </w:rPr>
        <w:t>containing</w:t>
      </w:r>
      <w:r>
        <w:rPr>
          <w:color w:val="231F20"/>
          <w:spacing w:val="-4"/>
          <w:sz w:val="20"/>
        </w:rPr>
        <w:t> </w:t>
      </w:r>
      <w:r>
        <w:rPr>
          <w:color w:val="231F20"/>
          <w:sz w:val="20"/>
        </w:rPr>
        <w:t>five</w:t>
      </w:r>
      <w:r>
        <w:rPr>
          <w:color w:val="231F20"/>
          <w:spacing w:val="-4"/>
          <w:sz w:val="20"/>
        </w:rPr>
        <w:t> </w:t>
      </w:r>
      <w:r>
        <w:rPr>
          <w:color w:val="231F20"/>
          <w:sz w:val="20"/>
        </w:rPr>
        <w:t>or</w:t>
      </w:r>
      <w:r>
        <w:rPr>
          <w:color w:val="231F20"/>
          <w:spacing w:val="-4"/>
          <w:sz w:val="20"/>
        </w:rPr>
        <w:t> </w:t>
      </w:r>
      <w:r>
        <w:rPr>
          <w:color w:val="231F20"/>
          <w:sz w:val="20"/>
        </w:rPr>
        <w:t>more</w:t>
      </w:r>
      <w:r>
        <w:rPr>
          <w:color w:val="231F20"/>
          <w:spacing w:val="-4"/>
          <w:sz w:val="20"/>
        </w:rPr>
        <w:t> </w:t>
      </w:r>
      <w:r>
        <w:rPr>
          <w:color w:val="231F20"/>
          <w:sz w:val="20"/>
        </w:rPr>
        <w:t>residential</w:t>
      </w:r>
      <w:r>
        <w:rPr>
          <w:color w:val="231F20"/>
          <w:spacing w:val="-4"/>
          <w:sz w:val="20"/>
        </w:rPr>
        <w:t> </w:t>
      </w:r>
      <w:r>
        <w:rPr>
          <w:color w:val="231F20"/>
          <w:spacing w:val="-2"/>
          <w:sz w:val="20"/>
        </w:rPr>
        <w:t>units;</w:t>
      </w:r>
    </w:p>
    <w:p>
      <w:pPr>
        <w:pStyle w:val="ListParagraph"/>
        <w:numPr>
          <w:ilvl w:val="1"/>
          <w:numId w:val="1"/>
        </w:numPr>
        <w:tabs>
          <w:tab w:pos="1000" w:val="left" w:leader="none"/>
        </w:tabs>
        <w:spacing w:line="240" w:lineRule="auto" w:before="90" w:after="0"/>
        <w:ind w:left="1000" w:right="0" w:hanging="179"/>
        <w:jc w:val="left"/>
        <w:rPr>
          <w:sz w:val="20"/>
        </w:rPr>
      </w:pPr>
      <w:r>
        <w:rPr>
          <w:color w:val="231F20"/>
          <w:sz w:val="20"/>
        </w:rPr>
        <w:t>commercial</w:t>
      </w:r>
      <w:r>
        <w:rPr>
          <w:color w:val="231F20"/>
          <w:spacing w:val="-5"/>
          <w:sz w:val="20"/>
        </w:rPr>
        <w:t> </w:t>
      </w:r>
      <w:r>
        <w:rPr>
          <w:color w:val="231F20"/>
          <w:sz w:val="20"/>
        </w:rPr>
        <w:t>property;</w:t>
      </w:r>
      <w:r>
        <w:rPr>
          <w:color w:val="231F20"/>
          <w:spacing w:val="-4"/>
          <w:sz w:val="20"/>
        </w:rPr>
        <w:t> </w:t>
      </w:r>
      <w:r>
        <w:rPr>
          <w:color w:val="231F20"/>
          <w:spacing w:val="-5"/>
          <w:sz w:val="20"/>
        </w:rPr>
        <w:t>and</w:t>
      </w:r>
    </w:p>
    <w:p>
      <w:pPr>
        <w:pStyle w:val="ListParagraph"/>
        <w:numPr>
          <w:ilvl w:val="1"/>
          <w:numId w:val="1"/>
        </w:numPr>
        <w:tabs>
          <w:tab w:pos="1001" w:val="left" w:leader="none"/>
        </w:tabs>
        <w:spacing w:line="240" w:lineRule="auto" w:before="90" w:after="0"/>
        <w:ind w:left="1001" w:right="117" w:hanging="180"/>
        <w:jc w:val="both"/>
        <w:rPr>
          <w:sz w:val="20"/>
        </w:rPr>
      </w:pPr>
      <w:r>
        <w:rPr>
          <w:color w:val="231F20"/>
          <w:sz w:val="20"/>
        </w:rPr>
        <w:t>one-to-four</w:t>
      </w:r>
      <w:r>
        <w:rPr>
          <w:color w:val="231F20"/>
          <w:spacing w:val="-13"/>
          <w:sz w:val="20"/>
        </w:rPr>
        <w:t> </w:t>
      </w:r>
      <w:r>
        <w:rPr>
          <w:color w:val="231F20"/>
          <w:sz w:val="20"/>
        </w:rPr>
        <w:t>unit,</w:t>
      </w:r>
      <w:r>
        <w:rPr>
          <w:color w:val="231F20"/>
          <w:spacing w:val="-14"/>
          <w:sz w:val="20"/>
        </w:rPr>
        <w:t> </w:t>
      </w:r>
      <w:r>
        <w:rPr>
          <w:color w:val="231F20"/>
          <w:sz w:val="20"/>
        </w:rPr>
        <w:t>owner-occupied</w:t>
      </w:r>
      <w:r>
        <w:rPr>
          <w:color w:val="231F20"/>
          <w:spacing w:val="-14"/>
          <w:sz w:val="20"/>
        </w:rPr>
        <w:t> </w:t>
      </w:r>
      <w:r>
        <w:rPr>
          <w:color w:val="231F20"/>
          <w:sz w:val="20"/>
        </w:rPr>
        <w:t>residence</w:t>
      </w:r>
      <w:r>
        <w:rPr>
          <w:color w:val="231F20"/>
          <w:spacing w:val="-13"/>
          <w:sz w:val="20"/>
        </w:rPr>
        <w:t> </w:t>
      </w:r>
      <w:r>
        <w:rPr>
          <w:color w:val="231F20"/>
          <w:sz w:val="20"/>
        </w:rPr>
        <w:t>when the mortgage is a home equity line of credit (HELOC) to the extent funds were advanced for purposes other than the purchase, construction or remodel of the property.</w:t>
      </w:r>
    </w:p>
    <w:p>
      <w:pPr>
        <w:pStyle w:val="BodyText"/>
        <w:ind w:right="117"/>
      </w:pPr>
      <w:r>
        <w:rPr>
          <w:color w:val="231F20"/>
        </w:rPr>
        <w:t>When a recourse second mortgage is wiped out by the foreclosure sale of a first mortgage holder, the wiped-out lender</w:t>
      </w:r>
      <w:r>
        <w:rPr>
          <w:color w:val="231F20"/>
          <w:spacing w:val="-14"/>
        </w:rPr>
        <w:t> </w:t>
      </w:r>
      <w:r>
        <w:rPr>
          <w:color w:val="231F20"/>
        </w:rPr>
        <w:t>may</w:t>
      </w:r>
      <w:r>
        <w:rPr>
          <w:color w:val="231F20"/>
          <w:spacing w:val="-14"/>
        </w:rPr>
        <w:t> </w:t>
      </w:r>
      <w:r>
        <w:rPr>
          <w:color w:val="231F20"/>
        </w:rPr>
        <w:t>pursue</w:t>
      </w:r>
      <w:r>
        <w:rPr>
          <w:color w:val="231F20"/>
          <w:spacing w:val="-14"/>
        </w:rPr>
        <w:t> </w:t>
      </w:r>
      <w:r>
        <w:rPr>
          <w:color w:val="231F20"/>
        </w:rPr>
        <w:t>a</w:t>
      </w:r>
      <w:r>
        <w:rPr>
          <w:color w:val="231F20"/>
          <w:spacing w:val="-14"/>
        </w:rPr>
        <w:t> </w:t>
      </w:r>
      <w:r>
        <w:rPr>
          <w:color w:val="231F20"/>
        </w:rPr>
        <w:t>money</w:t>
      </w:r>
      <w:r>
        <w:rPr>
          <w:color w:val="231F20"/>
          <w:spacing w:val="-13"/>
        </w:rPr>
        <w:t> </w:t>
      </w:r>
      <w:r>
        <w:rPr>
          <w:color w:val="231F20"/>
        </w:rPr>
        <w:t>judgement</w:t>
      </w:r>
      <w:r>
        <w:rPr>
          <w:color w:val="231F20"/>
          <w:spacing w:val="-14"/>
        </w:rPr>
        <w:t> </w:t>
      </w:r>
      <w:r>
        <w:rPr>
          <w:color w:val="231F20"/>
        </w:rPr>
        <w:t>against</w:t>
      </w:r>
      <w:r>
        <w:rPr>
          <w:color w:val="231F20"/>
          <w:spacing w:val="-13"/>
        </w:rPr>
        <w:t> </w:t>
      </w:r>
      <w:r>
        <w:rPr>
          <w:color w:val="231F20"/>
        </w:rPr>
        <w:t>the</w:t>
      </w:r>
      <w:r>
        <w:rPr>
          <w:color w:val="231F20"/>
          <w:spacing w:val="-14"/>
        </w:rPr>
        <w:t> </w:t>
      </w:r>
      <w:r>
        <w:rPr>
          <w:color w:val="231F20"/>
        </w:rPr>
        <w:t>property owner to recover the debt.</w:t>
      </w:r>
    </w:p>
    <w:p>
      <w:pPr>
        <w:spacing w:before="90"/>
        <w:ind w:left="101" w:right="117" w:firstLine="0"/>
        <w:jc w:val="both"/>
        <w:rPr>
          <w:sz w:val="20"/>
        </w:rPr>
      </w:pPr>
      <w:r>
        <w:rPr>
          <w:color w:val="231F20"/>
          <w:sz w:val="20"/>
        </w:rPr>
        <w:t>The</w:t>
      </w:r>
      <w:r>
        <w:rPr>
          <w:color w:val="231F20"/>
          <w:spacing w:val="-10"/>
          <w:sz w:val="20"/>
        </w:rPr>
        <w:t> </w:t>
      </w:r>
      <w:r>
        <w:rPr>
          <w:color w:val="231F20"/>
          <w:sz w:val="20"/>
        </w:rPr>
        <w:t>exception:</w:t>
      </w:r>
      <w:r>
        <w:rPr>
          <w:color w:val="231F20"/>
          <w:spacing w:val="-10"/>
          <w:sz w:val="20"/>
        </w:rPr>
        <w:t> </w:t>
      </w:r>
      <w:r>
        <w:rPr>
          <w:color w:val="231F20"/>
          <w:sz w:val="20"/>
        </w:rPr>
        <w:t>mortgages</w:t>
      </w:r>
      <w:r>
        <w:rPr>
          <w:color w:val="231F20"/>
          <w:spacing w:val="-10"/>
          <w:sz w:val="20"/>
        </w:rPr>
        <w:t> </w:t>
      </w:r>
      <w:r>
        <w:rPr>
          <w:color w:val="231F20"/>
          <w:sz w:val="20"/>
        </w:rPr>
        <w:t>insured</w:t>
      </w:r>
      <w:r>
        <w:rPr>
          <w:color w:val="231F20"/>
          <w:spacing w:val="-10"/>
          <w:sz w:val="20"/>
        </w:rPr>
        <w:t> </w:t>
      </w:r>
      <w:r>
        <w:rPr>
          <w:color w:val="231F20"/>
          <w:sz w:val="20"/>
        </w:rPr>
        <w:t>by</w:t>
      </w:r>
      <w:r>
        <w:rPr>
          <w:color w:val="231F20"/>
          <w:spacing w:val="-10"/>
          <w:sz w:val="20"/>
        </w:rPr>
        <w:t> </w:t>
      </w:r>
      <w:r>
        <w:rPr>
          <w:color w:val="231F20"/>
          <w:sz w:val="20"/>
        </w:rPr>
        <w:t>the</w:t>
      </w:r>
      <w:r>
        <w:rPr>
          <w:color w:val="231F20"/>
          <w:spacing w:val="-10"/>
          <w:sz w:val="20"/>
        </w:rPr>
        <w:t> </w:t>
      </w:r>
      <w:r>
        <w:rPr>
          <w:b/>
          <w:color w:val="231F20"/>
          <w:sz w:val="20"/>
        </w:rPr>
        <w:t>Federal</w:t>
      </w:r>
      <w:r>
        <w:rPr>
          <w:b/>
          <w:color w:val="231F20"/>
          <w:spacing w:val="-10"/>
          <w:sz w:val="20"/>
        </w:rPr>
        <w:t> </w:t>
      </w:r>
      <w:r>
        <w:rPr>
          <w:b/>
          <w:color w:val="231F20"/>
          <w:sz w:val="20"/>
        </w:rPr>
        <w:t>Housing Administration (FHA) </w:t>
      </w:r>
      <w:r>
        <w:rPr>
          <w:color w:val="231F20"/>
          <w:sz w:val="20"/>
        </w:rPr>
        <w:t>and </w:t>
      </w:r>
      <w:r>
        <w:rPr>
          <w:b/>
          <w:color w:val="231F20"/>
          <w:sz w:val="20"/>
        </w:rPr>
        <w:t>Department of Veterans Affairs (VA) </w:t>
      </w:r>
      <w:r>
        <w:rPr>
          <w:color w:val="231F20"/>
          <w:sz w:val="20"/>
        </w:rPr>
        <w:t>are subject to government recovery of these unpaid mortgage debts and have recourse against the homeowner. However, the FHA and VA rarely pursue deficiency judgments, though they have legal authority to do so.</w:t>
      </w:r>
    </w:p>
    <w:p>
      <w:pPr>
        <w:spacing w:after="0"/>
        <w:jc w:val="both"/>
        <w:rPr>
          <w:sz w:val="20"/>
        </w:rPr>
        <w:sectPr>
          <w:type w:val="continuous"/>
          <w:pgSz w:w="12240" w:h="15840"/>
          <w:pgMar w:top="720" w:bottom="280" w:left="620" w:right="600"/>
          <w:cols w:num="2" w:equalWidth="0">
            <w:col w:w="5362" w:space="217"/>
            <w:col w:w="5441"/>
          </w:cols>
        </w:sectPr>
      </w:pPr>
    </w:p>
    <w:p>
      <w:pPr>
        <w:pStyle w:val="BodyText"/>
        <w:spacing w:before="62"/>
        <w:ind w:left="0"/>
        <w:jc w:val="left"/>
      </w:pPr>
    </w:p>
    <w:p>
      <w:pPr>
        <w:spacing w:line="249" w:lineRule="auto" w:before="0"/>
        <w:ind w:left="776" w:right="836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pStyle w:val="BodyText"/>
        <w:spacing w:before="122"/>
        <w:ind w:left="778"/>
        <w:jc w:val="left"/>
      </w:pPr>
      <w:r>
        <w:rPr/>
        <w:drawing>
          <wp:anchor distT="0" distB="0" distL="0" distR="0" allowOverlap="1" layoutInCell="1" locked="0" behindDoc="0" simplePos="0" relativeHeight="15729152">
            <wp:simplePos x="0" y="0"/>
            <wp:positionH relativeFrom="page">
              <wp:posOffset>5689014</wp:posOffset>
            </wp:positionH>
            <wp:positionV relativeFrom="paragraph">
              <wp:posOffset>97766</wp:posOffset>
            </wp:positionV>
            <wp:extent cx="600807" cy="69290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600807" cy="692902"/>
                    </a:xfrm>
                    <a:prstGeom prst="rect">
                      <a:avLst/>
                    </a:prstGeom>
                  </pic:spPr>
                </pic:pic>
              </a:graphicData>
            </a:graphic>
          </wp:anchor>
        </w:drawing>
      </w:r>
      <w:r>
        <w:rPr/>
        <w:t>DRE</w:t>
      </w:r>
      <w:r>
        <w:rPr>
          <w:spacing w:val="-4"/>
        </w:rPr>
        <w:t> </w:t>
      </w:r>
      <w:r>
        <w:rPr/>
        <w:t>LIC#</w:t>
      </w:r>
      <w:r>
        <w:rPr>
          <w:spacing w:val="-1"/>
        </w:rPr>
        <w:t> </w:t>
      </w:r>
      <w:r>
        <w:rPr>
          <w:spacing w:val="-2"/>
        </w:rPr>
        <w:t>01474985</w:t>
      </w:r>
    </w:p>
    <w:p>
      <w:pPr>
        <w:pStyle w:val="BodyText"/>
        <w:spacing w:before="10"/>
        <w:ind w:left="778"/>
        <w:jc w:val="left"/>
      </w:pPr>
      <w:r>
        <w:rPr>
          <w:spacing w:val="-2"/>
        </w:rPr>
        <w:t>925-395-</w:t>
      </w:r>
      <w:r>
        <w:rPr>
          <w:spacing w:val="-4"/>
        </w:rPr>
        <w:t>0175</w:t>
      </w:r>
    </w:p>
    <w:p>
      <w:pPr>
        <w:pStyle w:val="BodyText"/>
        <w:spacing w:line="249" w:lineRule="auto" w:before="10"/>
        <w:ind w:left="778" w:right="5380"/>
        <w:jc w:val="left"/>
      </w:pPr>
      <w:hyperlink r:id="rId7">
        <w:r>
          <w:rPr>
            <w:spacing w:val="-2"/>
          </w:rPr>
          <w:t>christy@christyscarealty.com</w:t>
        </w:r>
      </w:hyperlink>
      <w:r>
        <w:rPr>
          <w:spacing w:val="-2"/>
        </w:rPr>
        <w:t> christyscaliforniarealty.com</w:t>
      </w:r>
    </w:p>
    <w:sectPr>
      <w:type w:val="continuous"/>
      <w:pgSz w:w="12240" w:h="15840"/>
      <w:pgMar w:top="72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31" w:hanging="270"/>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1001" w:hanging="180"/>
      </w:pPr>
      <w:rPr>
        <w:rFonts w:hint="default" w:ascii="Arial" w:hAnsi="Arial" w:eastAsia="Arial" w:cs="Arial"/>
        <w:b w:val="0"/>
        <w:bCs w:val="0"/>
        <w:i w:val="0"/>
        <w:iCs w:val="0"/>
        <w:color w:val="231F20"/>
        <w:spacing w:val="0"/>
        <w:w w:val="100"/>
        <w:sz w:val="20"/>
        <w:szCs w:val="20"/>
        <w:lang w:val="en-US" w:eastAsia="en-US" w:bidi="ar-SA"/>
      </w:rPr>
    </w:lvl>
    <w:lvl w:ilvl="2">
      <w:start w:val="0"/>
      <w:numFmt w:val="bullet"/>
      <w:lvlText w:val="•"/>
      <w:lvlJc w:val="left"/>
      <w:pPr>
        <w:ind w:left="864" w:hanging="180"/>
      </w:pPr>
      <w:rPr>
        <w:rFonts w:hint="default"/>
        <w:lang w:val="en-US" w:eastAsia="en-US" w:bidi="ar-SA"/>
      </w:rPr>
    </w:lvl>
    <w:lvl w:ilvl="3">
      <w:start w:val="0"/>
      <w:numFmt w:val="bullet"/>
      <w:lvlText w:val="•"/>
      <w:lvlJc w:val="left"/>
      <w:pPr>
        <w:ind w:left="729" w:hanging="180"/>
      </w:pPr>
      <w:rPr>
        <w:rFonts w:hint="default"/>
        <w:lang w:val="en-US" w:eastAsia="en-US" w:bidi="ar-SA"/>
      </w:rPr>
    </w:lvl>
    <w:lvl w:ilvl="4">
      <w:start w:val="0"/>
      <w:numFmt w:val="bullet"/>
      <w:lvlText w:val="•"/>
      <w:lvlJc w:val="left"/>
      <w:pPr>
        <w:ind w:left="594" w:hanging="180"/>
      </w:pPr>
      <w:rPr>
        <w:rFonts w:hint="default"/>
        <w:lang w:val="en-US" w:eastAsia="en-US" w:bidi="ar-SA"/>
      </w:rPr>
    </w:lvl>
    <w:lvl w:ilvl="5">
      <w:start w:val="0"/>
      <w:numFmt w:val="bullet"/>
      <w:lvlText w:val="•"/>
      <w:lvlJc w:val="left"/>
      <w:pPr>
        <w:ind w:left="458" w:hanging="180"/>
      </w:pPr>
      <w:rPr>
        <w:rFonts w:hint="default"/>
        <w:lang w:val="en-US" w:eastAsia="en-US" w:bidi="ar-SA"/>
      </w:rPr>
    </w:lvl>
    <w:lvl w:ilvl="6">
      <w:start w:val="0"/>
      <w:numFmt w:val="bullet"/>
      <w:lvlText w:val="•"/>
      <w:lvlJc w:val="left"/>
      <w:pPr>
        <w:ind w:left="323" w:hanging="180"/>
      </w:pPr>
      <w:rPr>
        <w:rFonts w:hint="default"/>
        <w:lang w:val="en-US" w:eastAsia="en-US" w:bidi="ar-SA"/>
      </w:rPr>
    </w:lvl>
    <w:lvl w:ilvl="7">
      <w:start w:val="0"/>
      <w:numFmt w:val="bullet"/>
      <w:lvlText w:val="•"/>
      <w:lvlJc w:val="left"/>
      <w:pPr>
        <w:ind w:left="188" w:hanging="180"/>
      </w:pPr>
      <w:rPr>
        <w:rFonts w:hint="default"/>
        <w:lang w:val="en-US" w:eastAsia="en-US" w:bidi="ar-SA"/>
      </w:rPr>
    </w:lvl>
    <w:lvl w:ilvl="8">
      <w:start w:val="0"/>
      <w:numFmt w:val="bullet"/>
      <w:lvlText w:val="•"/>
      <w:lvlJc w:val="left"/>
      <w:pPr>
        <w:ind w:left="52" w:hanging="1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90"/>
      <w:ind w:left="101"/>
      <w:jc w:val="both"/>
    </w:pPr>
    <w:rPr>
      <w:rFonts w:ascii="Arial" w:hAnsi="Arial" w:eastAsia="Arial" w:cs="Arial"/>
      <w:sz w:val="20"/>
      <w:szCs w:val="20"/>
      <w:lang w:val="en-US" w:eastAsia="en-US" w:bidi="ar-SA"/>
    </w:rPr>
  </w:style>
  <w:style w:styleId="Title" w:type="paragraph">
    <w:name w:val="Title"/>
    <w:basedOn w:val="Normal"/>
    <w:uiPriority w:val="1"/>
    <w:qFormat/>
    <w:pPr>
      <w:spacing w:line="582" w:lineRule="exact"/>
    </w:pPr>
    <w:rPr>
      <w:rFonts w:ascii="Arial" w:hAnsi="Arial" w:eastAsia="Arial" w:cs="Arial"/>
      <w:b/>
      <w:bCs/>
      <w:sz w:val="52"/>
      <w:szCs w:val="52"/>
      <w:lang w:val="en-US" w:eastAsia="en-US" w:bidi="ar-SA"/>
    </w:rPr>
  </w:style>
  <w:style w:styleId="ListParagraph" w:type="paragraph">
    <w:name w:val="List Paragraph"/>
    <w:basedOn w:val="Normal"/>
    <w:uiPriority w:val="1"/>
    <w:qFormat/>
    <w:pPr>
      <w:spacing w:before="90"/>
      <w:ind w:left="731" w:hanging="27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2024-09-08T23:11:19Z</dcterms:created>
  <dcterms:modified xsi:type="dcterms:W3CDTF">2024-09-08T23:11:19Z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2024-09-08T00:00:00Z</vt:filetime>
  </property>
  <property fmtid="{D5CDD505-2E9C-101B-9397-08002B2CF9AE}" pid="5" name="Producer">
    <vt:lpwstr>Adobe LiveCycle Designer 11.0</vt:lpwstr>
  </property>
</Properties>
</file>