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609344"/>
                            <a:ext cx="7315200" cy="104648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291"/>
                                <w:ind w:left="3622" w:right="0" w:hanging="1940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 happens if I withdraw my listed property from sale?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1" coordorigin="0,0" coordsize="11520,4637">
                <v:shape style="position:absolute;left:0;top:0;width:11520;height:463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534;width:11520;height:1648" type="#_x0000_t202" id="docshape3" filled="true" fillcolor="#d2232a" stroked="false">
                  <v:textbox inset="0,0,0,0">
                    <w:txbxContent>
                      <w:p>
                        <w:pPr>
                          <w:spacing w:line="249" w:lineRule="auto" w:before="291"/>
                          <w:ind w:left="3622" w:right="0" w:hanging="1940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What happens if I withdraw my listed property from sale?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3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line="249" w:lineRule="auto" w:before="93"/>
        <w:ind w:left="459" w:firstLine="78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19528</wp:posOffset>
                </wp:positionV>
                <wp:extent cx="394970" cy="4178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949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5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9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7"/>
                                <w:sz w:val="59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537665pt;width:31.1pt;height:32.9pt;mso-position-horizontal-relative:page;mso-position-vertical-relative:paragraph;z-index:15730176" type="#_x0000_t202" id="docshape4" filled="false" stroked="false">
                <v:textbox inset="0,0,0,0">
                  <w:txbxContent>
                    <w:p>
                      <w:pPr>
                        <w:spacing w:line="658" w:lineRule="exact" w:before="0"/>
                        <w:ind w:left="0" w:right="0" w:firstLine="0"/>
                        <w:jc w:val="left"/>
                        <w:rPr>
                          <w:b/>
                          <w:sz w:val="59"/>
                        </w:rPr>
                      </w:pPr>
                      <w:r>
                        <w:rPr>
                          <w:b/>
                          <w:color w:val="D2232A"/>
                          <w:spacing w:val="-7"/>
                          <w:sz w:val="59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Occasionally,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situation</w:t>
      </w:r>
      <w:r>
        <w:rPr>
          <w:color w:val="231F20"/>
          <w:spacing w:val="-1"/>
        </w:rPr>
        <w:t> </w:t>
      </w:r>
      <w:r>
        <w:rPr>
          <w:color w:val="231F20"/>
        </w:rPr>
        <w:t>arises</w:t>
      </w:r>
      <w:r>
        <w:rPr>
          <w:color w:val="231F20"/>
          <w:spacing w:val="-1"/>
        </w:rPr>
        <w:t> </w:t>
      </w:r>
      <w:r>
        <w:rPr>
          <w:color w:val="231F20"/>
        </w:rPr>
        <w:t>which</w:t>
      </w:r>
      <w:r>
        <w:rPr>
          <w:color w:val="231F20"/>
          <w:spacing w:val="-1"/>
        </w:rPr>
        <w:t> </w:t>
      </w:r>
      <w:r>
        <w:rPr>
          <w:color w:val="231F20"/>
        </w:rPr>
        <w:t>causes the</w:t>
      </w:r>
      <w:r>
        <w:rPr>
          <w:color w:val="231F20"/>
          <w:spacing w:val="80"/>
        </w:rPr>
        <w:t> </w:t>
      </w:r>
      <w:r>
        <w:rPr>
          <w:color w:val="231F20"/>
        </w:rPr>
        <w:t>owner</w:t>
      </w:r>
      <w:r>
        <w:rPr>
          <w:color w:val="231F20"/>
          <w:spacing w:val="80"/>
        </w:rPr>
        <w:t> </w:t>
      </w:r>
      <w:r>
        <w:rPr>
          <w:color w:val="231F20"/>
        </w:rPr>
        <w:t>of</w:t>
      </w:r>
      <w:r>
        <w:rPr>
          <w:color w:val="231F20"/>
          <w:spacing w:val="80"/>
        </w:rPr>
        <w:t> </w:t>
      </w:r>
      <w:r>
        <w:rPr>
          <w:color w:val="231F20"/>
        </w:rPr>
        <w:t>a</w:t>
      </w:r>
      <w:r>
        <w:rPr>
          <w:color w:val="231F20"/>
          <w:spacing w:val="80"/>
        </w:rPr>
        <w:t> </w:t>
      </w:r>
      <w:r>
        <w:rPr>
          <w:color w:val="231F20"/>
        </w:rPr>
        <w:t>property</w:t>
      </w:r>
      <w:r>
        <w:rPr>
          <w:color w:val="231F20"/>
          <w:spacing w:val="80"/>
        </w:rPr>
        <w:t> </w:t>
      </w:r>
      <w:r>
        <w:rPr>
          <w:color w:val="231F20"/>
        </w:rPr>
        <w:t>listed</w:t>
      </w:r>
      <w:r>
        <w:rPr>
          <w:color w:val="231F20"/>
          <w:spacing w:val="80"/>
        </w:rPr>
        <w:t> </w:t>
      </w:r>
      <w:r>
        <w:rPr>
          <w:color w:val="231F20"/>
        </w:rPr>
        <w:t>for</w:t>
      </w:r>
      <w:r>
        <w:rPr>
          <w:color w:val="231F20"/>
          <w:spacing w:val="80"/>
        </w:rPr>
        <w:t> </w:t>
      </w:r>
      <w:r>
        <w:rPr>
          <w:color w:val="231F20"/>
        </w:rPr>
        <w:t>sale</w:t>
      </w:r>
      <w:r>
        <w:rPr>
          <w:color w:val="231F20"/>
          <w:spacing w:val="80"/>
        </w:rPr>
        <w:t> </w:t>
      </w:r>
      <w:r>
        <w:rPr>
          <w:color w:val="231F20"/>
        </w:rPr>
        <w:t>to withdraw their property from the market. This owner has</w:t>
      </w:r>
      <w:r>
        <w:rPr>
          <w:color w:val="231F20"/>
          <w:spacing w:val="75"/>
        </w:rPr>
        <w:t> </w:t>
      </w:r>
      <w:r>
        <w:rPr>
          <w:color w:val="231F20"/>
        </w:rPr>
        <w:t>the</w:t>
      </w:r>
      <w:r>
        <w:rPr>
          <w:color w:val="231F20"/>
          <w:spacing w:val="76"/>
        </w:rPr>
        <w:t> </w:t>
      </w:r>
      <w:r>
        <w:rPr>
          <w:color w:val="231F20"/>
        </w:rPr>
        <w:t>option</w:t>
      </w:r>
      <w:r>
        <w:rPr>
          <w:color w:val="231F20"/>
          <w:spacing w:val="76"/>
        </w:rPr>
        <w:t> </w:t>
      </w:r>
      <w:r>
        <w:rPr>
          <w:color w:val="231F20"/>
        </w:rPr>
        <w:t>to</w:t>
      </w:r>
      <w:r>
        <w:rPr>
          <w:color w:val="231F20"/>
          <w:spacing w:val="76"/>
        </w:rPr>
        <w:t> </w:t>
      </w:r>
      <w:r>
        <w:rPr>
          <w:color w:val="231F20"/>
        </w:rPr>
        <w:t>voluntarily</w:t>
      </w:r>
      <w:r>
        <w:rPr>
          <w:color w:val="231F20"/>
          <w:spacing w:val="76"/>
        </w:rPr>
        <w:t> </w:t>
      </w:r>
      <w:r>
        <w:rPr>
          <w:color w:val="231F20"/>
        </w:rPr>
        <w:t>withdraw</w:t>
      </w:r>
      <w:r>
        <w:rPr>
          <w:color w:val="231F20"/>
          <w:spacing w:val="76"/>
        </w:rPr>
        <w:t> </w:t>
      </w:r>
      <w:r>
        <w:rPr>
          <w:color w:val="231F20"/>
        </w:rPr>
        <w:t>their</w:t>
      </w:r>
      <w:r>
        <w:rPr>
          <w:color w:val="231F20"/>
          <w:spacing w:val="76"/>
        </w:rPr>
        <w:t> </w:t>
      </w:r>
      <w:r>
        <w:rPr>
          <w:color w:val="231F20"/>
          <w:spacing w:val="-2"/>
        </w:rPr>
        <w:t>listed</w:t>
      </w:r>
    </w:p>
    <w:p>
      <w:pPr>
        <w:pStyle w:val="BodyText"/>
        <w:spacing w:before="4"/>
        <w:ind w:left="459"/>
        <w:jc w:val="both"/>
      </w:pPr>
      <w:r>
        <w:rPr>
          <w:color w:val="231F20"/>
        </w:rPr>
        <w:t>property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2"/>
        </w:rPr>
        <w:t> </w:t>
      </w:r>
      <w:r>
        <w:rPr>
          <w:color w:val="231F20"/>
        </w:rPr>
        <w:t>it</w:t>
      </w:r>
      <w:r>
        <w:rPr>
          <w:color w:val="231F20"/>
          <w:spacing w:val="-2"/>
        </w:rPr>
        <w:t> </w:t>
      </w:r>
      <w:r>
        <w:rPr>
          <w:color w:val="231F20"/>
        </w:rPr>
        <w:t>sells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listing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expires.</w:t>
      </w:r>
    </w:p>
    <w:p>
      <w:pPr>
        <w:pStyle w:val="BodyText"/>
        <w:spacing w:line="249" w:lineRule="auto" w:before="191"/>
        <w:ind w:left="459"/>
        <w:jc w:val="both"/>
      </w:pPr>
      <w:r>
        <w:rPr>
          <w:color w:val="231F20"/>
        </w:rPr>
        <w:t>Reasons an owner may have for withdrawing a listed property from sale include: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81" w:after="0"/>
        <w:ind w:left="998" w:right="0" w:hanging="269"/>
        <w:jc w:val="left"/>
        <w:rPr>
          <w:sz w:val="22"/>
        </w:rPr>
      </w:pP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change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4"/>
          <w:sz w:val="22"/>
        </w:rPr>
        <w:t>job;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01" w:after="0"/>
        <w:ind w:left="998" w:right="0" w:hanging="269"/>
        <w:jc w:val="left"/>
        <w:rPr>
          <w:sz w:val="22"/>
        </w:rPr>
      </w:pPr>
      <w:r>
        <w:rPr>
          <w:color w:val="231F20"/>
          <w:sz w:val="22"/>
        </w:rPr>
        <w:t>a family </w:t>
      </w:r>
      <w:r>
        <w:rPr>
          <w:color w:val="231F20"/>
          <w:spacing w:val="-2"/>
          <w:sz w:val="22"/>
        </w:rPr>
        <w:t>crisis;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101" w:after="0"/>
        <w:ind w:left="999" w:right="1" w:hanging="270"/>
        <w:jc w:val="left"/>
        <w:rPr>
          <w:sz w:val="22"/>
        </w:rPr>
      </w:pPr>
      <w:r>
        <w:rPr>
          <w:color w:val="231F20"/>
          <w:sz w:val="22"/>
        </w:rPr>
        <w:t>the inability of the market to deliver the desired selling price; and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92" w:after="0"/>
        <w:ind w:left="998" w:right="0" w:hanging="269"/>
        <w:jc w:val="left"/>
        <w:rPr>
          <w:sz w:val="22"/>
        </w:rPr>
      </w:pPr>
      <w:r>
        <w:rPr>
          <w:color w:val="231F20"/>
          <w:sz w:val="22"/>
        </w:rPr>
        <w:t>other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personal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reasons.</w:t>
      </w:r>
    </w:p>
    <w:p>
      <w:pPr>
        <w:pStyle w:val="BodyText"/>
        <w:spacing w:line="249" w:lineRule="auto" w:before="191"/>
        <w:ind w:left="459"/>
        <w:jc w:val="both"/>
      </w:pPr>
      <w:r>
        <w:rPr>
          <w:color w:val="231F20"/>
        </w:rPr>
        <w:t>An owner who withdraws their home from the market is</w:t>
      </w:r>
      <w:r>
        <w:rPr>
          <w:color w:val="231F20"/>
          <w:spacing w:val="-1"/>
        </w:rPr>
        <w:t> </w:t>
      </w:r>
      <w:r>
        <w:rPr>
          <w:i/>
          <w:color w:val="231F20"/>
        </w:rPr>
        <w:t>not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breaching</w:t>
      </w:r>
      <w:r>
        <w:rPr>
          <w:i/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listing</w:t>
      </w:r>
      <w:r>
        <w:rPr>
          <w:color w:val="231F20"/>
          <w:spacing w:val="-1"/>
        </w:rPr>
        <w:t> </w:t>
      </w:r>
      <w:r>
        <w:rPr>
          <w:color w:val="231F20"/>
        </w:rPr>
        <w:t>agreement.</w:t>
      </w:r>
      <w:r>
        <w:rPr>
          <w:color w:val="231F20"/>
          <w:spacing w:val="-1"/>
        </w:rPr>
        <w:t> </w:t>
      </w:r>
      <w:r>
        <w:rPr>
          <w:color w:val="231F20"/>
        </w:rPr>
        <w:t>However,</w:t>
      </w:r>
      <w:r>
        <w:rPr>
          <w:color w:val="231F20"/>
          <w:spacing w:val="-1"/>
        </w:rPr>
        <w:t> </w:t>
      </w:r>
      <w:r>
        <w:rPr>
          <w:color w:val="231F20"/>
        </w:rPr>
        <w:t>they do interfere with the broker’s expectations of locating a buyer and earning a fee.</w:t>
      </w:r>
    </w:p>
    <w:p>
      <w:pPr>
        <w:pStyle w:val="BodyText"/>
        <w:spacing w:line="249" w:lineRule="auto" w:before="184"/>
        <w:ind w:left="459"/>
        <w:jc w:val="both"/>
      </w:pPr>
      <w:r>
        <w:rPr>
          <w:color w:val="231F20"/>
          <w:spacing w:val="-2"/>
        </w:rPr>
        <w:t>Therefore,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owner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needs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broker’s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consent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when </w:t>
      </w:r>
      <w:r>
        <w:rPr>
          <w:color w:val="231F20"/>
        </w:rPr>
        <w:t>withdrawing the property from sale. It not, withdrawal triggers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broker’s</w:t>
      </w:r>
      <w:r>
        <w:rPr>
          <w:color w:val="231F20"/>
          <w:spacing w:val="-15"/>
        </w:rPr>
        <w:t> </w:t>
      </w:r>
      <w:r>
        <w:rPr>
          <w:color w:val="231F20"/>
        </w:rPr>
        <w:t>right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collect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full</w:t>
      </w:r>
      <w:r>
        <w:rPr>
          <w:color w:val="231F20"/>
          <w:spacing w:val="-15"/>
        </w:rPr>
        <w:t> </w:t>
      </w:r>
      <w:r>
        <w:rPr>
          <w:color w:val="231F20"/>
        </w:rPr>
        <w:t>fee</w:t>
      </w:r>
      <w:r>
        <w:rPr>
          <w:color w:val="231F20"/>
          <w:spacing w:val="-15"/>
        </w:rPr>
        <w:t> </w:t>
      </w:r>
      <w:r>
        <w:rPr>
          <w:color w:val="231F20"/>
        </w:rPr>
        <w:t>as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agreed.</w:t>
      </w:r>
    </w:p>
    <w:p>
      <w:pPr>
        <w:pStyle w:val="BodyText"/>
        <w:spacing w:before="182"/>
        <w:ind w:left="459"/>
        <w:jc w:val="both"/>
      </w:pPr>
      <w:r>
        <w:rPr>
          <w:color w:val="231F20"/>
        </w:rPr>
        <w:t>When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owner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broker</w:t>
      </w:r>
      <w:r>
        <w:rPr>
          <w:color w:val="231F20"/>
          <w:spacing w:val="20"/>
        </w:rPr>
        <w:t> </w:t>
      </w:r>
      <w:r>
        <w:rPr>
          <w:color w:val="231F20"/>
        </w:rPr>
        <w:t>mutually</w:t>
      </w:r>
      <w:r>
        <w:rPr>
          <w:color w:val="231F20"/>
          <w:spacing w:val="21"/>
        </w:rPr>
        <w:t> </w:t>
      </w:r>
      <w:r>
        <w:rPr>
          <w:color w:val="231F20"/>
        </w:rPr>
        <w:t>agree</w:t>
      </w:r>
      <w:r>
        <w:rPr>
          <w:color w:val="231F20"/>
          <w:spacing w:val="20"/>
        </w:rPr>
        <w:t> </w:t>
      </w:r>
      <w:r>
        <w:rPr>
          <w:color w:val="231F20"/>
        </w:rPr>
        <w:t>to</w:t>
      </w:r>
      <w:r>
        <w:rPr>
          <w:color w:val="231F20"/>
          <w:spacing w:val="21"/>
        </w:rPr>
        <w:t> </w:t>
      </w:r>
      <w:r>
        <w:rPr>
          <w:color w:val="231F20"/>
          <w:spacing w:val="-10"/>
        </w:rPr>
        <w:t>a</w:t>
      </w:r>
    </w:p>
    <w:p>
      <w:pPr>
        <w:pStyle w:val="BodyText"/>
        <w:spacing w:line="249" w:lineRule="auto" w:before="93"/>
        <w:ind w:left="319" w:right="458"/>
        <w:jc w:val="both"/>
      </w:pPr>
      <w:r>
        <w:rPr/>
        <w:br w:type="column"/>
      </w:r>
      <w:r>
        <w:rPr>
          <w:color w:val="231F20"/>
        </w:rPr>
        <w:t>withdrawal of the property from the market, no fee is due the broker, unless: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9" w:lineRule="auto" w:before="182" w:after="0"/>
        <w:ind w:left="859" w:right="457" w:hanging="270"/>
        <w:jc w:val="both"/>
        <w:rPr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owner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broker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agree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payment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 </w:t>
      </w:r>
      <w:r>
        <w:rPr>
          <w:color w:val="231F20"/>
          <w:spacing w:val="-2"/>
          <w:sz w:val="22"/>
        </w:rPr>
        <w:t>sum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of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money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for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the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marketing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effort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undertaken </w:t>
      </w:r>
      <w:r>
        <w:rPr>
          <w:color w:val="231F20"/>
          <w:sz w:val="22"/>
        </w:rPr>
        <w:t>and the opportunity the broker lost to earn a full fee by locating a buyer; or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9" w:lineRule="auto" w:before="93" w:after="0"/>
        <w:ind w:left="859" w:right="457" w:hanging="270"/>
        <w:jc w:val="both"/>
        <w:rPr>
          <w:sz w:val="22"/>
        </w:rPr>
      </w:pPr>
      <w:r>
        <w:rPr>
          <w:color w:val="231F20"/>
          <w:sz w:val="22"/>
        </w:rPr>
        <w:t>the property is sold within the listing or safety period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—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without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broker’s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involvement</w:t>
      </w:r>
    </w:p>
    <w:p>
      <w:pPr>
        <w:pStyle w:val="BodyText"/>
        <w:spacing w:before="2"/>
        <w:ind w:left="859"/>
        <w:jc w:val="both"/>
      </w:pPr>
      <w:r>
        <w:rPr>
          <w:color w:val="231F20"/>
        </w:rPr>
        <w:t>—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which</w:t>
      </w:r>
      <w:r>
        <w:rPr>
          <w:color w:val="231F20"/>
          <w:spacing w:val="-2"/>
        </w:rPr>
        <w:t> </w:t>
      </w:r>
      <w:r>
        <w:rPr>
          <w:color w:val="231F20"/>
        </w:rPr>
        <w:t>case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full</w:t>
      </w:r>
      <w:r>
        <w:rPr>
          <w:color w:val="231F20"/>
          <w:spacing w:val="-1"/>
        </w:rPr>
        <w:t> </w:t>
      </w:r>
      <w:r>
        <w:rPr>
          <w:color w:val="231F20"/>
        </w:rPr>
        <w:t>fee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due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broker.</w:t>
      </w:r>
    </w:p>
    <w:p>
      <w:pPr>
        <w:pStyle w:val="BodyText"/>
        <w:spacing w:line="249" w:lineRule="auto" w:before="191"/>
        <w:ind w:left="318" w:right="457"/>
        <w:jc w:val="both"/>
      </w:pPr>
      <w:r>
        <w:rPr>
          <w:color w:val="231F20"/>
        </w:rPr>
        <w:t>Conversely, the broker is entitled to a full listing fee when the owner’s conduct, </w:t>
      </w:r>
      <w:r>
        <w:rPr>
          <w:i/>
          <w:color w:val="231F20"/>
        </w:rPr>
        <w:t>without </w:t>
      </w:r>
      <w:r>
        <w:rPr>
          <w:color w:val="231F20"/>
        </w:rPr>
        <w:t>the broker’s consent, causes the listed property to be: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83" w:after="0"/>
        <w:ind w:left="857" w:right="0" w:hanging="269"/>
        <w:jc w:val="left"/>
        <w:rPr>
          <w:sz w:val="22"/>
        </w:rPr>
      </w:pPr>
      <w:r>
        <w:rPr>
          <w:color w:val="231F20"/>
          <w:sz w:val="22"/>
        </w:rPr>
        <w:t>withdrawn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from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market;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01" w:after="0"/>
        <w:ind w:left="857" w:right="0" w:hanging="269"/>
        <w:jc w:val="left"/>
        <w:rPr>
          <w:sz w:val="22"/>
        </w:rPr>
      </w:pPr>
      <w:r>
        <w:rPr>
          <w:color w:val="231F20"/>
          <w:sz w:val="22"/>
        </w:rPr>
        <w:t>transferred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others;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01" w:after="0"/>
        <w:ind w:left="857" w:right="0" w:hanging="269"/>
        <w:jc w:val="left"/>
        <w:rPr>
          <w:sz w:val="22"/>
        </w:rPr>
      </w:pPr>
      <w:r>
        <w:rPr>
          <w:color w:val="231F20"/>
          <w:sz w:val="22"/>
        </w:rPr>
        <w:t>further leased; </w:t>
      </w:r>
      <w:r>
        <w:rPr>
          <w:color w:val="231F20"/>
          <w:spacing w:val="-5"/>
          <w:sz w:val="22"/>
        </w:rPr>
        <w:t>or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01" w:after="0"/>
        <w:ind w:left="857" w:right="0" w:hanging="269"/>
        <w:jc w:val="left"/>
        <w:rPr>
          <w:sz w:val="22"/>
        </w:rPr>
      </w:pPr>
      <w:r>
        <w:rPr>
          <w:color w:val="231F20"/>
          <w:sz w:val="22"/>
        </w:rPr>
        <w:t>otherwise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made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unmarketable.</w:t>
      </w:r>
    </w:p>
    <w:p>
      <w:pPr>
        <w:pStyle w:val="BodyText"/>
        <w:spacing w:line="249" w:lineRule="auto" w:before="191"/>
        <w:ind w:left="318" w:right="457"/>
        <w:jc w:val="both"/>
      </w:pPr>
      <w:r>
        <w:rPr>
          <w:color w:val="231F20"/>
        </w:rPr>
        <w:t>Further,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full</w:t>
      </w:r>
      <w:r>
        <w:rPr>
          <w:color w:val="231F20"/>
          <w:spacing w:val="-8"/>
        </w:rPr>
        <w:t> </w:t>
      </w:r>
      <w:r>
        <w:rPr>
          <w:color w:val="231F20"/>
        </w:rPr>
        <w:t>fee</w:t>
      </w:r>
      <w:r>
        <w:rPr>
          <w:color w:val="231F20"/>
          <w:spacing w:val="-8"/>
        </w:rPr>
        <w:t> </w:t>
      </w:r>
      <w:r>
        <w:rPr>
          <w:color w:val="231F20"/>
        </w:rPr>
        <w:t>due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broker</w:t>
      </w:r>
      <w:r>
        <w:rPr>
          <w:color w:val="231F20"/>
          <w:spacing w:val="-8"/>
        </w:rPr>
        <w:t> </w:t>
      </w:r>
      <w:r>
        <w:rPr>
          <w:color w:val="231F20"/>
        </w:rPr>
        <w:t>compensates</w:t>
      </w:r>
      <w:r>
        <w:rPr>
          <w:color w:val="231F20"/>
          <w:spacing w:val="-8"/>
        </w:rPr>
        <w:t> </w:t>
      </w:r>
      <w:r>
        <w:rPr>
          <w:color w:val="231F20"/>
        </w:rPr>
        <w:t>them </w:t>
      </w:r>
      <w:r>
        <w:rPr>
          <w:color w:val="231F20"/>
          <w:spacing w:val="-2"/>
        </w:rPr>
        <w:t>for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time,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effort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money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invested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marketing </w:t>
      </w:r>
      <w:r>
        <w:rPr>
          <w:color w:val="231F20"/>
        </w:rPr>
        <w:t>of the property before the owner removed it from the market.</w:t>
      </w:r>
      <w:r>
        <w:rPr>
          <w:color w:val="231F20"/>
          <w:spacing w:val="-9"/>
        </w:rPr>
        <w:t> </w:t>
      </w:r>
      <w:r>
        <w:rPr>
          <w:color w:val="231F20"/>
        </w:rPr>
        <w:t>Also important is the broker's lost opportunity to locate a buyer and earn a full fee under the listing.</w:t>
      </w:r>
    </w:p>
    <w:p>
      <w:pPr>
        <w:spacing w:after="0" w:line="249" w:lineRule="auto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3"/>
        <w:rPr>
          <w:sz w:val="20"/>
        </w:rPr>
      </w:pPr>
    </w:p>
    <w:p>
      <w:pPr>
        <w:spacing w:line="266" w:lineRule="auto" w:before="0"/>
        <w:ind w:left="1055" w:right="8784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5784338</wp:posOffset>
            </wp:positionH>
            <wp:positionV relativeFrom="paragraph">
              <wp:posOffset>217713</wp:posOffset>
            </wp:positionV>
            <wp:extent cx="796890" cy="91929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890" cy="91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Christy Dumlao Real Estate Broker </w:t>
      </w:r>
      <w:r>
        <w:rPr>
          <w:sz w:val="20"/>
        </w:rPr>
        <w:t>DRE</w:t>
      </w:r>
      <w:r>
        <w:rPr>
          <w:spacing w:val="-14"/>
          <w:sz w:val="20"/>
        </w:rPr>
        <w:t> </w:t>
      </w:r>
      <w:r>
        <w:rPr>
          <w:sz w:val="20"/>
        </w:rPr>
        <w:t>LIC#</w:t>
      </w:r>
      <w:r>
        <w:rPr>
          <w:spacing w:val="-14"/>
          <w:sz w:val="20"/>
        </w:rPr>
        <w:t> </w:t>
      </w:r>
      <w:r>
        <w:rPr>
          <w:sz w:val="20"/>
        </w:rPr>
        <w:t>01474985</w:t>
      </w:r>
    </w:p>
    <w:p>
      <w:pPr>
        <w:spacing w:line="214" w:lineRule="exact" w:before="0"/>
        <w:ind w:left="1055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055" w:right="5803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238747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8.799023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5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1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58" w:lineRule="exact"/>
    </w:pPr>
    <w:rPr>
      <w:rFonts w:ascii="Arial" w:hAnsi="Arial" w:eastAsia="Arial" w:cs="Arial"/>
      <w:b/>
      <w:b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857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2024-09-09T00:37:57Z</dcterms:created>
  <dcterms:modified xsi:type="dcterms:W3CDTF">2024-09-09T00:37:57Z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