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9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49" w:lineRule="auto" w:before="114"/>
        <w:ind w:left="720" w:firstLine="68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-2895441</wp:posOffset>
                </wp:positionV>
                <wp:extent cx="7772400" cy="26339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2633980"/>
                          <a:chExt cx="7772400" cy="26339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2633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569719"/>
                            <a:ext cx="777240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642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752"/>
                                </a:lnTo>
                                <a:lnTo>
                                  <a:pt x="7772400" y="10637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C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263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263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449" w:right="609" w:hanging="1067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responsible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maintenance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of boundary fences and trees?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27.987534pt;width:612pt;height:207.4pt;mso-position-horizontal-relative:page;mso-position-vertical-relative:paragraph;z-index:15728640" id="docshapegroup1" coordorigin="0,-4560" coordsize="12240,4148">
                <v:shape style="position:absolute;left:0;top:-4560;width:12240;height:4148" type="#_x0000_t75" id="docshape2" stroked="false">
                  <v:imagedata r:id="rId5" o:title=""/>
                </v:shape>
                <v:rect style="position:absolute;left:0;top:-2088;width:12240;height:1676" id="docshape3" filled="true" fillcolor="#0067ac" stroked="false">
                  <v:fill opacity="32768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4560;width:12240;height:4148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263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449" w:right="609" w:hanging="1067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Who</w:t>
                        </w:r>
                        <w:r>
                          <w:rPr>
                            <w:color w:val="FFFFFF"/>
                            <w:spacing w:val="-1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responsible</w:t>
                        </w:r>
                        <w:r>
                          <w:rPr>
                            <w:color w:val="FFFFFF"/>
                            <w:spacing w:val="-1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for</w:t>
                        </w:r>
                        <w:r>
                          <w:rPr>
                            <w:color w:val="FFFFFF"/>
                            <w:spacing w:val="-1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maintenance</w:t>
                        </w:r>
                        <w:r>
                          <w:rPr>
                            <w:color w:val="FFFFFF"/>
                            <w:spacing w:val="-1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of boundary fences and trees?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449002</wp:posOffset>
                </wp:positionH>
                <wp:positionV relativeFrom="paragraph">
                  <wp:posOffset>2653</wp:posOffset>
                </wp:positionV>
                <wp:extent cx="346075" cy="4159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6075" cy="41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b/>
                                <w:sz w:val="53"/>
                              </w:rPr>
                            </w:pPr>
                            <w:r>
                              <w:rPr>
                                <w:b/>
                                <w:color w:val="0067AC"/>
                                <w:spacing w:val="-14"/>
                                <w:sz w:val="53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545pt;margin-top:.208974pt;width:27.25pt;height:32.75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b/>
                          <w:sz w:val="53"/>
                        </w:rPr>
                      </w:pPr>
                      <w:r>
                        <w:rPr>
                          <w:b/>
                          <w:color w:val="0067AC"/>
                          <w:spacing w:val="-14"/>
                          <w:sz w:val="53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110"/>
        </w:rPr>
        <w:t>Most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properties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three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property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lines setting the </w:t>
      </w:r>
      <w:r>
        <w:rPr>
          <w:b/>
          <w:color w:val="231F20"/>
          <w:w w:val="110"/>
        </w:rPr>
        <w:t>common boundaries </w:t>
      </w:r>
      <w:r>
        <w:rPr>
          <w:color w:val="231F20"/>
          <w:w w:val="110"/>
        </w:rPr>
        <w:t>with adjacent properties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owned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others.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fourth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property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line usually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sets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frontage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public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right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way,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such</w:t>
      </w:r>
    </w:p>
    <w:p>
      <w:pPr>
        <w:pStyle w:val="BodyText"/>
        <w:spacing w:before="3"/>
        <w:ind w:left="720"/>
        <w:jc w:val="both"/>
      </w:pPr>
      <w:r>
        <w:rPr>
          <w:color w:val="231F20"/>
          <w:w w:val="110"/>
        </w:rPr>
        <w:t>as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street.</w:t>
      </w:r>
    </w:p>
    <w:p>
      <w:pPr>
        <w:pStyle w:val="BodyText"/>
        <w:spacing w:line="249" w:lineRule="auto" w:before="130"/>
        <w:ind w:left="720"/>
        <w:jc w:val="both"/>
      </w:pPr>
      <w:r>
        <w:rPr>
          <w:color w:val="231F20"/>
          <w:w w:val="110"/>
        </w:rPr>
        <w:t>The location of the common property lines is typically represented</w:t>
      </w:r>
      <w:r>
        <w:rPr>
          <w:color w:val="231F20"/>
          <w:w w:val="110"/>
        </w:rPr>
        <w:t> by</w:t>
      </w:r>
      <w:r>
        <w:rPr>
          <w:color w:val="231F20"/>
          <w:w w:val="110"/>
        </w:rPr>
        <w:t> common</w:t>
      </w:r>
      <w:r>
        <w:rPr>
          <w:color w:val="231F20"/>
          <w:w w:val="110"/>
        </w:rPr>
        <w:t> boundary</w:t>
      </w:r>
      <w:r>
        <w:rPr>
          <w:color w:val="231F20"/>
          <w:w w:val="110"/>
        </w:rPr>
        <w:t> improvements </w:t>
      </w:r>
      <w:r>
        <w:rPr>
          <w:color w:val="231F20"/>
        </w:rPr>
        <w:t>such as shrubbery or trees. When setting up, maintaining </w:t>
      </w:r>
      <w:r>
        <w:rPr>
          <w:color w:val="231F20"/>
          <w:w w:val="110"/>
        </w:rPr>
        <w:t>or</w:t>
      </w:r>
      <w:r>
        <w:rPr>
          <w:color w:val="231F20"/>
          <w:w w:val="110"/>
        </w:rPr>
        <w:t> removing</w:t>
      </w:r>
      <w:r>
        <w:rPr>
          <w:color w:val="231F20"/>
          <w:w w:val="110"/>
        </w:rPr>
        <w:t> common</w:t>
      </w:r>
      <w:r>
        <w:rPr>
          <w:color w:val="231F20"/>
          <w:w w:val="110"/>
        </w:rPr>
        <w:t> boundary</w:t>
      </w:r>
      <w:r>
        <w:rPr>
          <w:color w:val="231F20"/>
          <w:w w:val="110"/>
        </w:rPr>
        <w:t> improvements,</w:t>
      </w:r>
      <w:r>
        <w:rPr>
          <w:color w:val="231F20"/>
          <w:w w:val="110"/>
        </w:rPr>
        <w:t> </w:t>
      </w:r>
      <w:r>
        <w:rPr>
          <w:color w:val="231F20"/>
          <w:w w:val="110"/>
        </w:rPr>
        <w:t>the adjacent property owners’ rights depend on the type of improvement.</w:t>
      </w:r>
    </w:p>
    <w:p>
      <w:pPr>
        <w:pStyle w:val="BodyText"/>
        <w:spacing w:line="249" w:lineRule="auto" w:before="125"/>
        <w:ind w:left="720"/>
        <w:jc w:val="both"/>
      </w:pPr>
      <w:r>
        <w:rPr>
          <w:color w:val="231F20"/>
          <w:w w:val="110"/>
        </w:rPr>
        <w:t>Common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boundary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improvements,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trees,</w:t>
      </w:r>
      <w:r>
        <w:rPr>
          <w:color w:val="231F20"/>
          <w:w w:val="110"/>
        </w:rPr>
        <w:t> located</w:t>
      </w:r>
      <w:r>
        <w:rPr>
          <w:color w:val="231F20"/>
          <w:w w:val="110"/>
        </w:rPr>
        <w:t> on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property</w:t>
      </w:r>
      <w:r>
        <w:rPr>
          <w:color w:val="231F20"/>
          <w:w w:val="110"/>
        </w:rPr>
        <w:t> line</w:t>
      </w:r>
      <w:r>
        <w:rPr>
          <w:color w:val="231F20"/>
          <w:w w:val="110"/>
        </w:rPr>
        <w:t> between</w:t>
      </w:r>
      <w:r>
        <w:rPr>
          <w:color w:val="231F20"/>
          <w:w w:val="110"/>
        </w:rPr>
        <w:t> adjacent properties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called</w:t>
      </w:r>
      <w:r>
        <w:rPr>
          <w:color w:val="231F20"/>
          <w:spacing w:val="-10"/>
          <w:w w:val="110"/>
        </w:rPr>
        <w:t> </w:t>
      </w:r>
      <w:r>
        <w:rPr>
          <w:b/>
          <w:color w:val="231F20"/>
          <w:w w:val="110"/>
        </w:rPr>
        <w:t>party</w:t>
      </w:r>
      <w:r>
        <w:rPr>
          <w:b/>
          <w:color w:val="231F20"/>
          <w:spacing w:val="-9"/>
          <w:w w:val="110"/>
        </w:rPr>
        <w:t> </w:t>
      </w:r>
      <w:r>
        <w:rPr>
          <w:b/>
          <w:color w:val="231F20"/>
          <w:w w:val="110"/>
        </w:rPr>
        <w:t>walls</w:t>
      </w:r>
      <w:r>
        <w:rPr>
          <w:color w:val="231F20"/>
          <w:w w:val="110"/>
        </w:rPr>
        <w:t>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Types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party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walls </w:t>
      </w:r>
      <w:r>
        <w:rPr>
          <w:color w:val="231F20"/>
          <w:spacing w:val="-2"/>
          <w:w w:val="110"/>
        </w:rPr>
        <w:t>include: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123" w:after="0"/>
        <w:ind w:left="1169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boundary</w:t>
      </w:r>
      <w:r>
        <w:rPr>
          <w:color w:val="231F20"/>
          <w:spacing w:val="19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fences;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130" w:after="0"/>
        <w:ind w:left="1169" w:right="0" w:hanging="269"/>
        <w:jc w:val="left"/>
        <w:rPr>
          <w:sz w:val="20"/>
        </w:rPr>
      </w:pPr>
      <w:r>
        <w:rPr>
          <w:color w:val="231F20"/>
          <w:w w:val="105"/>
          <w:sz w:val="20"/>
        </w:rPr>
        <w:t>driveways;</w:t>
      </w:r>
      <w:r>
        <w:rPr>
          <w:color w:val="231F20"/>
          <w:spacing w:val="21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130" w:after="0"/>
        <w:ind w:left="1169" w:right="0" w:hanging="269"/>
        <w:jc w:val="left"/>
        <w:rPr>
          <w:sz w:val="20"/>
        </w:rPr>
      </w:pPr>
      <w:r>
        <w:rPr>
          <w:color w:val="231F20"/>
          <w:spacing w:val="-2"/>
          <w:w w:val="110"/>
          <w:sz w:val="20"/>
        </w:rPr>
        <w:t>ditches.</w:t>
      </w:r>
    </w:p>
    <w:p>
      <w:pPr>
        <w:pStyle w:val="BodyText"/>
        <w:spacing w:line="249" w:lineRule="auto" w:before="130"/>
        <w:ind w:left="720"/>
        <w:jc w:val="both"/>
      </w:pPr>
      <w:r>
        <w:rPr>
          <w:color w:val="231F20"/>
          <w:w w:val="110"/>
        </w:rPr>
        <w:t>Owners</w:t>
      </w:r>
      <w:r>
        <w:rPr>
          <w:color w:val="231F20"/>
          <w:w w:val="110"/>
        </w:rPr>
        <w:t> of</w:t>
      </w:r>
      <w:r>
        <w:rPr>
          <w:color w:val="231F20"/>
          <w:w w:val="110"/>
        </w:rPr>
        <w:t> adjoining</w:t>
      </w:r>
      <w:r>
        <w:rPr>
          <w:color w:val="231F20"/>
          <w:w w:val="110"/>
        </w:rPr>
        <w:t> properties</w:t>
      </w:r>
      <w:r>
        <w:rPr>
          <w:color w:val="231F20"/>
          <w:w w:val="110"/>
        </w:rPr>
        <w:t> are</w:t>
      </w:r>
      <w:r>
        <w:rPr>
          <w:color w:val="231F20"/>
          <w:w w:val="110"/>
        </w:rPr>
        <w:t> presumed</w:t>
      </w:r>
      <w:r>
        <w:rPr>
          <w:color w:val="231F20"/>
          <w:w w:val="110"/>
        </w:rPr>
        <w:t> to benefit</w:t>
      </w:r>
      <w:r>
        <w:rPr>
          <w:color w:val="231F20"/>
          <w:w w:val="110"/>
        </w:rPr>
        <w:t> equally</w:t>
      </w:r>
      <w:r>
        <w:rPr>
          <w:color w:val="231F20"/>
          <w:w w:val="110"/>
        </w:rPr>
        <w:t> from</w:t>
      </w:r>
      <w:r>
        <w:rPr>
          <w:color w:val="231F20"/>
          <w:w w:val="110"/>
        </w:rPr>
        <w:t> boundary</w:t>
      </w:r>
      <w:r>
        <w:rPr>
          <w:color w:val="231F20"/>
          <w:w w:val="110"/>
        </w:rPr>
        <w:t> fences.</w:t>
      </w:r>
      <w:r>
        <w:rPr>
          <w:color w:val="231F20"/>
          <w:w w:val="110"/>
        </w:rPr>
        <w:t> Under</w:t>
      </w:r>
      <w:r>
        <w:rPr>
          <w:color w:val="231F20"/>
          <w:w w:val="110"/>
        </w:rPr>
        <w:t> this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legal</w:t>
      </w:r>
      <w:r>
        <w:rPr>
          <w:color w:val="231F20"/>
          <w:w w:val="110"/>
        </w:rPr>
        <w:t> presumption,</w:t>
      </w:r>
      <w:r>
        <w:rPr>
          <w:color w:val="231F20"/>
          <w:w w:val="110"/>
        </w:rPr>
        <w:t> all</w:t>
      </w:r>
      <w:r>
        <w:rPr>
          <w:color w:val="231F20"/>
          <w:w w:val="110"/>
        </w:rPr>
        <w:t> adjoining</w:t>
      </w:r>
      <w:r>
        <w:rPr>
          <w:color w:val="231F20"/>
          <w:w w:val="110"/>
        </w:rPr>
        <w:t> owners</w:t>
      </w:r>
      <w:r>
        <w:rPr>
          <w:color w:val="231F20"/>
          <w:w w:val="110"/>
        </w:rPr>
        <w:t> are</w:t>
      </w:r>
      <w:r>
        <w:rPr>
          <w:color w:val="231F20"/>
          <w:w w:val="110"/>
        </w:rPr>
        <w:t> </w:t>
      </w:r>
      <w:r>
        <w:rPr>
          <w:i/>
          <w:color w:val="231F20"/>
          <w:w w:val="110"/>
        </w:rPr>
        <w:t>equally </w:t>
      </w:r>
      <w:r>
        <w:rPr>
          <w:i/>
          <w:color w:val="231F20"/>
        </w:rPr>
        <w:t>responsible </w:t>
      </w:r>
      <w:r>
        <w:rPr>
          <w:color w:val="231F20"/>
        </w:rPr>
        <w:t>for constructing, maintaining and </w:t>
      </w:r>
      <w:r>
        <w:rPr>
          <w:color w:val="231F20"/>
        </w:rPr>
        <w:t>replacing </w:t>
      </w:r>
      <w:r>
        <w:rPr>
          <w:color w:val="231F20"/>
          <w:w w:val="110"/>
        </w:rPr>
        <w:t>boundary fences.</w:t>
      </w:r>
    </w:p>
    <w:p>
      <w:pPr>
        <w:pStyle w:val="BodyText"/>
        <w:spacing w:before="124"/>
        <w:ind w:left="720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31"/>
          <w:w w:val="105"/>
        </w:rPr>
        <w:t>  </w:t>
      </w:r>
      <w:r>
        <w:rPr>
          <w:color w:val="231F20"/>
          <w:w w:val="105"/>
        </w:rPr>
        <w:t>responsibility</w:t>
      </w:r>
      <w:r>
        <w:rPr>
          <w:color w:val="231F20"/>
          <w:spacing w:val="33"/>
          <w:w w:val="105"/>
        </w:rPr>
        <w:t>  </w:t>
      </w:r>
      <w:r>
        <w:rPr>
          <w:color w:val="231F20"/>
          <w:w w:val="105"/>
        </w:rPr>
        <w:t>for</w:t>
      </w:r>
      <w:r>
        <w:rPr>
          <w:color w:val="231F20"/>
          <w:spacing w:val="32"/>
          <w:w w:val="105"/>
        </w:rPr>
        <w:t>  </w:t>
      </w:r>
      <w:r>
        <w:rPr>
          <w:color w:val="231F20"/>
          <w:w w:val="105"/>
        </w:rPr>
        <w:t>constructing,</w:t>
      </w:r>
      <w:r>
        <w:rPr>
          <w:color w:val="231F20"/>
          <w:spacing w:val="32"/>
          <w:w w:val="105"/>
        </w:rPr>
        <w:t>  </w:t>
      </w:r>
      <w:r>
        <w:rPr>
          <w:color w:val="231F20"/>
          <w:w w:val="105"/>
        </w:rPr>
        <w:t>maintaining</w:t>
      </w:r>
      <w:r>
        <w:rPr>
          <w:color w:val="231F20"/>
          <w:spacing w:val="32"/>
          <w:w w:val="105"/>
        </w:rPr>
        <w:t>  </w:t>
      </w:r>
      <w:r>
        <w:rPr>
          <w:color w:val="231F20"/>
          <w:spacing w:val="-5"/>
          <w:w w:val="105"/>
        </w:rPr>
        <w:t>or</w:t>
      </w:r>
    </w:p>
    <w:p>
      <w:pPr>
        <w:pStyle w:val="BodyText"/>
        <w:spacing w:line="249" w:lineRule="auto" w:before="114"/>
        <w:ind w:left="319" w:right="717"/>
        <w:jc w:val="both"/>
      </w:pPr>
      <w:r>
        <w:rPr/>
        <w:br w:type="column"/>
      </w:r>
      <w:r>
        <w:rPr>
          <w:color w:val="231F20"/>
          <w:w w:val="115"/>
        </w:rPr>
        <w:t>replacing</w:t>
      </w:r>
      <w:r>
        <w:rPr>
          <w:color w:val="231F20"/>
          <w:w w:val="115"/>
        </w:rPr>
        <w:t> boundary</w:t>
      </w:r>
      <w:r>
        <w:rPr>
          <w:color w:val="231F20"/>
          <w:w w:val="115"/>
        </w:rPr>
        <w:t> fences</w:t>
      </w:r>
      <w:r>
        <w:rPr>
          <w:color w:val="231F20"/>
          <w:w w:val="115"/>
        </w:rPr>
        <w:t> may</w:t>
      </w:r>
      <w:r>
        <w:rPr>
          <w:color w:val="231F20"/>
          <w:w w:val="115"/>
        </w:rPr>
        <w:t> be</w:t>
      </w:r>
      <w:r>
        <w:rPr>
          <w:color w:val="231F20"/>
          <w:w w:val="115"/>
        </w:rPr>
        <w:t> altered</w:t>
      </w:r>
      <w:r>
        <w:rPr>
          <w:color w:val="231F20"/>
          <w:w w:val="115"/>
        </w:rPr>
        <w:t> or removed only by: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9" w:lineRule="auto" w:before="121" w:after="0"/>
        <w:ind w:left="769" w:right="717" w:hanging="270"/>
        <w:jc w:val="left"/>
        <w:rPr>
          <w:sz w:val="20"/>
        </w:rPr>
      </w:pPr>
      <w:r>
        <w:rPr>
          <w:color w:val="231F20"/>
          <w:w w:val="115"/>
          <w:sz w:val="20"/>
        </w:rPr>
        <w:t>a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written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agreement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between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all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affected owners; or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9" w:lineRule="auto" w:before="122" w:after="0"/>
        <w:ind w:left="769" w:right="717" w:hanging="270"/>
        <w:jc w:val="left"/>
        <w:rPr>
          <w:sz w:val="20"/>
        </w:rPr>
      </w:pPr>
      <w:r>
        <w:rPr>
          <w:color w:val="231F20"/>
          <w:w w:val="110"/>
          <w:sz w:val="20"/>
        </w:rPr>
        <w:t>an adjoining owner’s judicial petition to remove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or alter their responsibility.</w:t>
      </w:r>
    </w:p>
    <w:p>
      <w:pPr>
        <w:pStyle w:val="BodyText"/>
        <w:spacing w:line="249" w:lineRule="auto" w:before="121"/>
        <w:ind w:left="319" w:right="717"/>
        <w:jc w:val="both"/>
      </w:pPr>
      <w:r>
        <w:rPr>
          <w:color w:val="231F20"/>
          <w:w w:val="110"/>
        </w:rPr>
        <w:t>When</w:t>
      </w:r>
      <w:r>
        <w:rPr>
          <w:color w:val="231F20"/>
          <w:w w:val="110"/>
        </w:rPr>
        <w:t> trees</w:t>
      </w:r>
      <w:r>
        <w:rPr>
          <w:color w:val="231F20"/>
          <w:w w:val="110"/>
        </w:rPr>
        <w:t> mark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common</w:t>
      </w:r>
      <w:r>
        <w:rPr>
          <w:color w:val="231F20"/>
          <w:w w:val="110"/>
        </w:rPr>
        <w:t> boundary,</w:t>
      </w:r>
      <w:r>
        <w:rPr>
          <w:color w:val="231F20"/>
          <w:w w:val="110"/>
        </w:rPr>
        <w:t> each</w:t>
      </w:r>
      <w:r>
        <w:rPr>
          <w:color w:val="231F20"/>
          <w:w w:val="110"/>
        </w:rPr>
        <w:t> tree’s ownership</w:t>
      </w:r>
      <w:r>
        <w:rPr>
          <w:color w:val="231F20"/>
          <w:w w:val="110"/>
        </w:rPr>
        <w:t> is</w:t>
      </w:r>
      <w:r>
        <w:rPr>
          <w:color w:val="231F20"/>
          <w:w w:val="110"/>
        </w:rPr>
        <w:t> determined</w:t>
      </w:r>
      <w:r>
        <w:rPr>
          <w:color w:val="231F20"/>
          <w:w w:val="110"/>
        </w:rPr>
        <w:t> by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location</w:t>
      </w:r>
      <w:r>
        <w:rPr>
          <w:color w:val="231F20"/>
          <w:w w:val="110"/>
        </w:rPr>
        <w:t> of</w:t>
      </w:r>
      <w:r>
        <w:rPr>
          <w:color w:val="231F20"/>
          <w:w w:val="110"/>
        </w:rPr>
        <w:t> its</w:t>
      </w:r>
      <w:r>
        <w:rPr>
          <w:color w:val="231F20"/>
          <w:w w:val="110"/>
        </w:rPr>
        <w:t> trunk. Solely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owned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trees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belong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owner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property on</w:t>
      </w:r>
      <w:r>
        <w:rPr>
          <w:color w:val="231F20"/>
          <w:w w:val="110"/>
        </w:rPr>
        <w:t> which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entire</w:t>
      </w:r>
      <w:r>
        <w:rPr>
          <w:color w:val="231F20"/>
          <w:w w:val="110"/>
        </w:rPr>
        <w:t> trunk</w:t>
      </w:r>
      <w:r>
        <w:rPr>
          <w:color w:val="231F20"/>
          <w:w w:val="110"/>
        </w:rPr>
        <w:t> is</w:t>
      </w:r>
      <w:r>
        <w:rPr>
          <w:color w:val="231F20"/>
          <w:w w:val="110"/>
        </w:rPr>
        <w:t> growing.</w:t>
      </w:r>
      <w:r>
        <w:rPr>
          <w:color w:val="231F20"/>
          <w:w w:val="110"/>
        </w:rPr>
        <w:t> Trees</w:t>
      </w:r>
      <w:r>
        <w:rPr>
          <w:color w:val="231F20"/>
          <w:w w:val="110"/>
        </w:rPr>
        <w:t> growing on</w:t>
      </w:r>
      <w:r>
        <w:rPr>
          <w:color w:val="231F20"/>
          <w:w w:val="110"/>
        </w:rPr>
        <w:t> government-owned</w:t>
      </w:r>
      <w:r>
        <w:rPr>
          <w:color w:val="231F20"/>
          <w:w w:val="110"/>
        </w:rPr>
        <w:t> parcels,</w:t>
      </w:r>
      <w:r>
        <w:rPr>
          <w:color w:val="231F20"/>
          <w:w w:val="110"/>
        </w:rPr>
        <w:t> such</w:t>
      </w:r>
      <w:r>
        <w:rPr>
          <w:color w:val="231F20"/>
          <w:w w:val="110"/>
        </w:rPr>
        <w:t> as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right</w:t>
      </w:r>
      <w:r>
        <w:rPr>
          <w:color w:val="231F20"/>
          <w:w w:val="110"/>
        </w:rPr>
        <w:t> of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w w:val="110"/>
        </w:rPr>
        <w:t> for</w:t>
      </w:r>
      <w:r>
        <w:rPr>
          <w:color w:val="231F20"/>
          <w:w w:val="110"/>
        </w:rPr>
        <w:t> streets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sidewalks,</w:t>
      </w:r>
      <w:r>
        <w:rPr>
          <w:color w:val="231F20"/>
          <w:w w:val="110"/>
        </w:rPr>
        <w:t> belong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local government, and thus the government is responsible for maintenance.</w:t>
      </w:r>
    </w:p>
    <w:p>
      <w:pPr>
        <w:pStyle w:val="BodyText"/>
        <w:spacing w:line="249" w:lineRule="auto" w:before="127"/>
        <w:ind w:left="319" w:right="717"/>
        <w:jc w:val="both"/>
      </w:pPr>
      <w:r>
        <w:rPr>
          <w:color w:val="231F20"/>
          <w:spacing w:val="-2"/>
          <w:w w:val="110"/>
        </w:rPr>
        <w:t>However,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shrubbery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trees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whose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trunks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stand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partly </w:t>
      </w:r>
      <w:r>
        <w:rPr>
          <w:color w:val="231F20"/>
          <w:w w:val="110"/>
        </w:rPr>
        <w:t>on the land of two adjacent property owners belong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 both adjacent owners. These trees are called </w:t>
      </w:r>
      <w:r>
        <w:rPr>
          <w:b/>
          <w:color w:val="231F20"/>
          <w:w w:val="110"/>
        </w:rPr>
        <w:t>line </w:t>
      </w:r>
      <w:r>
        <w:rPr>
          <w:b/>
          <w:color w:val="231F20"/>
          <w:spacing w:val="-2"/>
          <w:w w:val="110"/>
        </w:rPr>
        <w:t>trees</w:t>
      </w:r>
      <w:r>
        <w:rPr>
          <w:b/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2"/>
          <w:w w:val="110"/>
        </w:rPr>
        <w:t> </w:t>
      </w:r>
      <w:r>
        <w:rPr>
          <w:b/>
          <w:color w:val="231F20"/>
          <w:spacing w:val="-2"/>
          <w:w w:val="110"/>
        </w:rPr>
        <w:t>common</w:t>
      </w:r>
      <w:r>
        <w:rPr>
          <w:b/>
          <w:color w:val="231F20"/>
          <w:spacing w:val="-11"/>
          <w:w w:val="110"/>
        </w:rPr>
        <w:t> </w:t>
      </w:r>
      <w:r>
        <w:rPr>
          <w:b/>
          <w:color w:val="231F20"/>
          <w:spacing w:val="-2"/>
          <w:w w:val="110"/>
        </w:rPr>
        <w:t>boundary</w:t>
      </w:r>
      <w:r>
        <w:rPr>
          <w:b/>
          <w:color w:val="231F20"/>
          <w:spacing w:val="-11"/>
          <w:w w:val="110"/>
        </w:rPr>
        <w:t> </w:t>
      </w:r>
      <w:r>
        <w:rPr>
          <w:b/>
          <w:color w:val="231F20"/>
          <w:spacing w:val="-2"/>
          <w:w w:val="110"/>
        </w:rPr>
        <w:t>trees</w:t>
      </w:r>
      <w:r>
        <w:rPr>
          <w:color w:val="231F20"/>
          <w:spacing w:val="-2"/>
          <w:w w:val="110"/>
        </w:rPr>
        <w:t>.</w:t>
      </w:r>
    </w:p>
    <w:p>
      <w:pPr>
        <w:pStyle w:val="BodyText"/>
        <w:spacing w:line="249" w:lineRule="auto" w:before="123"/>
        <w:ind w:left="319" w:right="717"/>
        <w:jc w:val="both"/>
      </w:pPr>
      <w:r>
        <w:rPr>
          <w:color w:val="231F20"/>
          <w:w w:val="110"/>
        </w:rPr>
        <w:t>Similar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maintaining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boundary</w:t>
      </w:r>
      <w:r>
        <w:rPr>
          <w:color w:val="231F20"/>
          <w:w w:val="110"/>
        </w:rPr>
        <w:t> fence,</w:t>
      </w:r>
      <w:r>
        <w:rPr>
          <w:color w:val="231F20"/>
          <w:w w:val="110"/>
        </w:rPr>
        <w:t> adjacent owners</w:t>
      </w:r>
      <w:r>
        <w:rPr>
          <w:color w:val="231F20"/>
          <w:w w:val="110"/>
        </w:rPr>
        <w:t> who</w:t>
      </w:r>
      <w:r>
        <w:rPr>
          <w:color w:val="231F20"/>
          <w:w w:val="110"/>
        </w:rPr>
        <w:t> own</w:t>
      </w:r>
      <w:r>
        <w:rPr>
          <w:color w:val="231F20"/>
          <w:w w:val="110"/>
        </w:rPr>
        <w:t> line</w:t>
      </w:r>
      <w:r>
        <w:rPr>
          <w:color w:val="231F20"/>
          <w:w w:val="110"/>
        </w:rPr>
        <w:t> trees</w:t>
      </w:r>
      <w:r>
        <w:rPr>
          <w:color w:val="231F20"/>
          <w:w w:val="110"/>
        </w:rPr>
        <w:t> are</w:t>
      </w:r>
      <w:r>
        <w:rPr>
          <w:color w:val="231F20"/>
          <w:w w:val="110"/>
        </w:rPr>
        <w:t> jointly</w:t>
      </w:r>
      <w:r>
        <w:rPr>
          <w:color w:val="231F20"/>
          <w:w w:val="110"/>
        </w:rPr>
        <w:t> responsible</w:t>
      </w:r>
      <w:r>
        <w:rPr>
          <w:color w:val="231F20"/>
          <w:w w:val="110"/>
        </w:rPr>
        <w:t> for maintaining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trees</w:t>
      </w:r>
      <w:r>
        <w:rPr>
          <w:color w:val="231F20"/>
          <w:w w:val="110"/>
        </w:rPr>
        <w:t> and,</w:t>
      </w:r>
      <w:r>
        <w:rPr>
          <w:color w:val="231F20"/>
          <w:w w:val="110"/>
        </w:rPr>
        <w:t> unless</w:t>
      </w:r>
      <w:r>
        <w:rPr>
          <w:color w:val="231F20"/>
          <w:w w:val="110"/>
        </w:rPr>
        <w:t> they</w:t>
      </w:r>
      <w:r>
        <w:rPr>
          <w:color w:val="231F20"/>
          <w:w w:val="110"/>
        </w:rPr>
        <w:t> agree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an alternate</w:t>
      </w:r>
      <w:r>
        <w:rPr>
          <w:color w:val="231F20"/>
          <w:w w:val="110"/>
        </w:rPr>
        <w:t> arrangement,</w:t>
      </w:r>
      <w:r>
        <w:rPr>
          <w:color w:val="231F20"/>
          <w:w w:val="110"/>
        </w:rPr>
        <w:t> share</w:t>
      </w:r>
      <w:r>
        <w:rPr>
          <w:color w:val="231F20"/>
          <w:w w:val="110"/>
        </w:rPr>
        <w:t> equal</w:t>
      </w:r>
      <w:r>
        <w:rPr>
          <w:color w:val="231F20"/>
          <w:w w:val="110"/>
        </w:rPr>
        <w:t> costs.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avoid disputes, adjacent property owners need to consider entering</w:t>
      </w:r>
      <w:r>
        <w:rPr>
          <w:color w:val="231F20"/>
          <w:w w:val="110"/>
        </w:rPr>
        <w:t> into</w:t>
      </w:r>
      <w:r>
        <w:rPr>
          <w:color w:val="231F20"/>
          <w:w w:val="110"/>
        </w:rPr>
        <w:t> an</w:t>
      </w:r>
      <w:r>
        <w:rPr>
          <w:color w:val="231F20"/>
          <w:w w:val="110"/>
        </w:rPr>
        <w:t> agreement</w:t>
      </w:r>
      <w:r>
        <w:rPr>
          <w:color w:val="231F20"/>
          <w:w w:val="110"/>
        </w:rPr>
        <w:t> detailing</w:t>
      </w:r>
      <w:r>
        <w:rPr>
          <w:color w:val="231F20"/>
          <w:w w:val="110"/>
        </w:rPr>
        <w:t> how</w:t>
      </w:r>
      <w:r>
        <w:rPr>
          <w:color w:val="231F20"/>
          <w:w w:val="110"/>
        </w:rPr>
        <w:t> they</w:t>
      </w:r>
      <w:r>
        <w:rPr>
          <w:color w:val="231F20"/>
          <w:w w:val="110"/>
        </w:rPr>
        <w:t> will handle the maintenance of boundary trees.</w:t>
      </w:r>
    </w:p>
    <w:p>
      <w:pPr>
        <w:spacing w:after="0" w:line="249" w:lineRule="auto"/>
        <w:jc w:val="both"/>
        <w:sectPr>
          <w:type w:val="continuous"/>
          <w:pgSz w:w="12240" w:h="15840"/>
          <w:pgMar w:top="0" w:bottom="280" w:left="0" w:right="0"/>
          <w:cols w:num="2" w:equalWidth="0">
            <w:col w:w="5942" w:space="40"/>
            <w:col w:w="625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7561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772400" cy="47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7561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75488"/>
                              </a:lnTo>
                              <a:lnTo>
                                <a:pt x="7772400" y="475488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9F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37.44pt;mso-position-horizontal-relative:page;mso-position-vertical-relative:page;z-index:15729152" id="docshape6" filled="true" fillcolor="#779fce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spacing w:line="249" w:lineRule="auto" w:before="0"/>
        <w:ind w:left="1396" w:right="89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39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97734</wp:posOffset>
            </wp:positionV>
            <wp:extent cx="600807" cy="69290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39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398" w:right="5980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6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7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5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9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70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7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8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</w:pPr>
    <w:rPr>
      <w:rFonts w:ascii="Arial" w:hAnsi="Arial" w:eastAsia="Arial" w:cs="Arial"/>
      <w:b/>
      <w:bCs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0"/>
      <w:ind w:left="1169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2024-09-08T23:28:29Z</dcterms:created>
  <dcterms:modified xsi:type="dcterms:W3CDTF">2024-09-08T23:28:29Z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