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2192020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192020"/>
                          <a:chExt cx="6858000" cy="21920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19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192020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322971"/>
                                </a:lnTo>
                                <a:lnTo>
                                  <a:pt x="0" y="2192020"/>
                                </a:lnTo>
                                <a:lnTo>
                                  <a:pt x="2172614" y="2192020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192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88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1"/>
                                <w:ind w:left="1445" w:right="4577" w:firstLine="289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expect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when making</w:t>
                              </w:r>
                            </w:p>
                            <w:p>
                              <w:pPr>
                                <w:spacing w:before="3"/>
                                <w:ind w:left="1339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0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offer?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72.6pt;mso-position-horizontal-relative:char;mso-position-vertical-relative:line" id="docshapegroup1" coordorigin="0,0" coordsize="10800,3452">
                <v:shape style="position:absolute;left:0;top:0;width:10800;height:3452" type="#_x0000_t75" id="docshape2" stroked="false">
                  <v:imagedata r:id="rId5" o:title=""/>
                </v:shape>
                <v:shape style="position:absolute;left:0;top:0;width:6927;height:3452" id="docshape3" coordorigin="0,0" coordsize="6927,3452" path="m6926,0l2376,0,0,2083,0,3452,3421,3452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345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88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1"/>
                          <w:ind w:left="1445" w:right="4577" w:firstLine="289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expect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when making</w:t>
                        </w:r>
                      </w:p>
                      <w:p>
                        <w:pPr>
                          <w:spacing w:before="3"/>
                          <w:ind w:left="1339" w:right="0" w:firstLine="0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0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offer?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47"/>
        <w:ind w:left="0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BodyText"/>
        <w:spacing w:before="94"/>
        <w:ind w:left="79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458216</wp:posOffset>
                </wp:positionH>
                <wp:positionV relativeFrom="paragraph">
                  <wp:posOffset>25334</wp:posOffset>
                </wp:positionV>
                <wp:extent cx="349885" cy="3702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994871pt;width:27.55pt;height:29.15pt;mso-position-horizontal-relative:page;mso-position-vertical-relative:paragraph;z-index:-15767040" type="#_x0000_t202" id="docshape5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During the initial stage of a real estate sales transaction,</w:t>
      </w:r>
      <w:r>
        <w:rPr>
          <w:color w:val="231F20"/>
          <w:spacing w:val="22"/>
        </w:rPr>
        <w:t> </w:t>
      </w:r>
      <w:r>
        <w:rPr>
          <w:color w:val="231F20"/>
        </w:rPr>
        <w:t>offers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counteroffers</w:t>
      </w:r>
      <w:r>
        <w:rPr>
          <w:color w:val="231F20"/>
          <w:spacing w:val="23"/>
        </w:rPr>
        <w:t> </w:t>
      </w:r>
      <w:r>
        <w:rPr>
          <w:color w:val="231F20"/>
        </w:rPr>
        <w:t>are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prepared</w:t>
      </w:r>
    </w:p>
    <w:p>
      <w:pPr>
        <w:pStyle w:val="BodyText"/>
        <w:spacing w:before="0"/>
        <w:ind w:right="38"/>
      </w:pP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submitted</w:t>
      </w:r>
      <w:r>
        <w:rPr>
          <w:color w:val="231F20"/>
          <w:spacing w:val="-13"/>
        </w:rPr>
        <w:t> </w:t>
      </w:r>
      <w:r>
        <w:rPr>
          <w:color w:val="231F20"/>
        </w:rPr>
        <w:t>between</w:t>
      </w:r>
      <w:r>
        <w:rPr>
          <w:color w:val="231F20"/>
          <w:spacing w:val="-13"/>
        </w:rPr>
        <w:t> </w:t>
      </w:r>
      <w:r>
        <w:rPr>
          <w:color w:val="231F20"/>
        </w:rPr>
        <w:t>buyers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sellers.</w:t>
      </w:r>
      <w:r>
        <w:rPr>
          <w:color w:val="231F20"/>
          <w:spacing w:val="-13"/>
        </w:rPr>
        <w:t> </w:t>
      </w:r>
      <w:r>
        <w:rPr>
          <w:color w:val="231F20"/>
        </w:rPr>
        <w:t>When</w:t>
      </w:r>
      <w:r>
        <w:rPr>
          <w:color w:val="231F20"/>
          <w:spacing w:val="-13"/>
        </w:rPr>
        <w:t> </w:t>
      </w:r>
      <w:r>
        <w:rPr>
          <w:color w:val="231F20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</w:rPr>
        <w:t>offer is unacceptable to the seller they will likely make a written counteroffer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terms.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willing, a compromise in terms is reached, an acceptance occurs and a binding agreement is the result.</w:t>
      </w:r>
    </w:p>
    <w:p>
      <w:pPr>
        <w:pStyle w:val="BodyText"/>
        <w:spacing w:before="180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valid,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80" w:after="0"/>
        <w:ind w:left="640" w:right="0" w:hanging="269"/>
        <w:jc w:val="both"/>
        <w:rPr>
          <w:sz w:val="20"/>
        </w:rPr>
      </w:pPr>
      <w:r>
        <w:rPr>
          <w:color w:val="231F20"/>
          <w:sz w:val="20"/>
        </w:rPr>
        <w:t>show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serious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intent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agreement;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8" w:hanging="270"/>
        <w:jc w:val="both"/>
        <w:rPr>
          <w:sz w:val="20"/>
        </w:rPr>
      </w:pPr>
      <w:r>
        <w:rPr>
          <w:color w:val="231F20"/>
          <w:sz w:val="20"/>
        </w:rPr>
        <w:t>be definite and clear in detailing the essential elements of the purchase agreement and property identification;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both"/>
        <w:rPr>
          <w:sz w:val="20"/>
        </w:rPr>
      </w:pPr>
      <w:r>
        <w:rPr>
          <w:color w:val="231F20"/>
          <w:sz w:val="20"/>
        </w:rPr>
        <w:t>be communicated to the person able to accept the </w:t>
      </w:r>
      <w:r>
        <w:rPr>
          <w:color w:val="231F20"/>
          <w:spacing w:val="-2"/>
          <w:sz w:val="20"/>
        </w:rPr>
        <w:t>offer.</w:t>
      </w:r>
    </w:p>
    <w:p>
      <w:pPr>
        <w:pStyle w:val="BodyText"/>
      </w:pP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submission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offer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seller,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either: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80" w:after="0"/>
        <w:ind w:left="640" w:right="0" w:hanging="269"/>
        <w:jc w:val="both"/>
        <w:rPr>
          <w:sz w:val="20"/>
        </w:rPr>
      </w:pPr>
      <w:r>
        <w:rPr>
          <w:color w:val="231F20"/>
          <w:sz w:val="20"/>
        </w:rPr>
        <w:t>accepted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prior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its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expiration;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90" w:after="0"/>
        <w:ind w:left="640" w:right="0" w:hanging="269"/>
        <w:jc w:val="both"/>
        <w:rPr>
          <w:sz w:val="20"/>
        </w:rPr>
      </w:pPr>
      <w:r>
        <w:rPr>
          <w:color w:val="231F20"/>
          <w:spacing w:val="-2"/>
          <w:sz w:val="20"/>
        </w:rPr>
        <w:t>rejected.</w:t>
      </w:r>
    </w:p>
    <w:p>
      <w:pPr>
        <w:pStyle w:val="BodyText"/>
        <w:ind w:right="38"/>
      </w:pPr>
      <w:r>
        <w:rPr>
          <w:color w:val="231F20"/>
        </w:rPr>
        <w:t>The seller’s acceptance of your offer forms a binding agreement. However, the agreement is typically not </w:t>
      </w:r>
      <w:r>
        <w:rPr>
          <w:color w:val="231F20"/>
        </w:rPr>
        <w:t>yet enforceable by actual performance — a closing — due to conditions stated in the agreement.</w:t>
      </w:r>
    </w:p>
    <w:p>
      <w:pPr>
        <w:pStyle w:val="BodyText"/>
        <w:spacing w:before="180"/>
      </w:pP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contrast,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seller rejects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offer </w:t>
      </w:r>
      <w:r>
        <w:rPr>
          <w:color w:val="231F20"/>
          <w:spacing w:val="-5"/>
        </w:rPr>
        <w:t>by: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80" w:after="0"/>
        <w:ind w:left="641" w:right="39" w:hanging="270"/>
        <w:jc w:val="both"/>
        <w:rPr>
          <w:sz w:val="20"/>
        </w:rPr>
      </w:pPr>
      <w:r>
        <w:rPr>
          <w:color w:val="231F20"/>
          <w:sz w:val="20"/>
        </w:rPr>
        <w:t>returning a signed, written rejection stating no counteroffer will be forthcoming;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90" w:after="0"/>
        <w:ind w:left="640" w:right="0" w:hanging="269"/>
        <w:jc w:val="left"/>
        <w:rPr>
          <w:sz w:val="20"/>
        </w:rPr>
      </w:pPr>
      <w:r>
        <w:rPr>
          <w:color w:val="231F20"/>
          <w:sz w:val="20"/>
        </w:rPr>
        <w:t>preparing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submitting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counteroffer,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using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either</w:t>
      </w:r>
    </w:p>
    <w:p>
      <w:pPr>
        <w:pStyle w:val="BodyText"/>
        <w:spacing w:before="94"/>
        <w:ind w:left="641" w:right="117"/>
      </w:pPr>
      <w:r>
        <w:rPr/>
        <w:br w:type="column"/>
      </w:r>
      <w:r>
        <w:rPr>
          <w:color w:val="231F20"/>
        </w:rPr>
        <w:t>a counteroffer form or a purchase agreement form stating different terms; or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118" w:hanging="270"/>
        <w:jc w:val="both"/>
        <w:rPr>
          <w:sz w:val="20"/>
        </w:rPr>
      </w:pPr>
      <w:r>
        <w:rPr>
          <w:color w:val="231F20"/>
          <w:sz w:val="20"/>
        </w:rPr>
        <w:t>doing nothing, and letting your offer expire — no </w:t>
      </w:r>
      <w:r>
        <w:rPr>
          <w:color w:val="231F20"/>
          <w:spacing w:val="-2"/>
          <w:sz w:val="20"/>
        </w:rPr>
        <w:t>response.</w:t>
      </w:r>
    </w:p>
    <w:p>
      <w:pPr>
        <w:pStyle w:val="BodyText"/>
        <w:ind w:right="117"/>
      </w:pPr>
      <w:r>
        <w:rPr>
          <w:color w:val="231F20"/>
        </w:rPr>
        <w:t>Without first preparing and submitting a counteroffer, the seller</w:t>
      </w:r>
      <w:r>
        <w:rPr>
          <w:color w:val="231F20"/>
          <w:spacing w:val="-9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inquiry</w:t>
      </w:r>
      <w:r>
        <w:rPr>
          <w:color w:val="231F20"/>
          <w:spacing w:val="-9"/>
        </w:rPr>
        <w:t> </w:t>
      </w:r>
      <w:r>
        <w:rPr>
          <w:color w:val="231F20"/>
        </w:rPr>
        <w:t>into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willingness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consider different terms. The inquiry for clarifications or changes is not a counteroffer or rejection of your written offer. Such</w:t>
      </w:r>
      <w:r>
        <w:rPr>
          <w:color w:val="231F20"/>
          <w:spacing w:val="40"/>
        </w:rPr>
        <w:t> </w:t>
      </w:r>
      <w:r>
        <w:rPr>
          <w:color w:val="231F20"/>
        </w:rPr>
        <w:t>an inquiry does not bar the seller from a later but </w:t>
      </w:r>
      <w:r>
        <w:rPr>
          <w:color w:val="231F20"/>
        </w:rPr>
        <w:t>timely acceptance to form a binding agreement.</w:t>
      </w:r>
    </w:p>
    <w:p>
      <w:pPr>
        <w:pStyle w:val="BodyText"/>
        <w:spacing w:before="180"/>
        <w:ind w:right="117"/>
      </w:pPr>
      <w:r>
        <w:rPr>
          <w:color w:val="231F20"/>
        </w:rPr>
        <w:t>However,</w:t>
      </w:r>
      <w:r>
        <w:rPr>
          <w:color w:val="231F20"/>
          <w:spacing w:val="40"/>
        </w:rPr>
        <w:t> </w:t>
      </w:r>
      <w:r>
        <w:rPr>
          <w:color w:val="231F20"/>
        </w:rPr>
        <w:t>when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seller</w:t>
      </w:r>
      <w:r>
        <w:rPr>
          <w:color w:val="231F20"/>
          <w:spacing w:val="40"/>
        </w:rPr>
        <w:t> </w:t>
      </w:r>
      <w:r>
        <w:rPr>
          <w:color w:val="231F20"/>
        </w:rPr>
        <w:t>attempts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accept</w:t>
      </w:r>
      <w:r>
        <w:rPr>
          <w:color w:val="231F20"/>
          <w:spacing w:val="40"/>
        </w:rPr>
        <w:t> </w:t>
      </w:r>
      <w:r>
        <w:rPr>
          <w:color w:val="231F20"/>
        </w:rPr>
        <w:t>your</w:t>
      </w:r>
      <w:r>
        <w:rPr>
          <w:color w:val="231F20"/>
          <w:spacing w:val="40"/>
        </w:rPr>
        <w:t> </w:t>
      </w:r>
      <w:r>
        <w:rPr>
          <w:color w:val="231F20"/>
        </w:rPr>
        <w:t>offer by</w:t>
      </w:r>
      <w:r>
        <w:rPr>
          <w:color w:val="231F20"/>
          <w:spacing w:val="40"/>
        </w:rPr>
        <w:t> </w:t>
      </w:r>
      <w:r>
        <w:rPr>
          <w:color w:val="231F20"/>
        </w:rPr>
        <w:t>first</w:t>
      </w:r>
      <w:r>
        <w:rPr>
          <w:color w:val="231F20"/>
          <w:spacing w:val="40"/>
        </w:rPr>
        <w:t> </w:t>
      </w:r>
      <w:r>
        <w:rPr>
          <w:color w:val="231F20"/>
        </w:rPr>
        <w:t>altering</w:t>
      </w:r>
      <w:r>
        <w:rPr>
          <w:color w:val="231F20"/>
          <w:spacing w:val="40"/>
        </w:rPr>
        <w:t> </w:t>
      </w:r>
      <w:r>
        <w:rPr>
          <w:color w:val="231F20"/>
        </w:rPr>
        <w:t>its</w:t>
      </w:r>
      <w:r>
        <w:rPr>
          <w:color w:val="231F20"/>
          <w:spacing w:val="40"/>
        </w:rPr>
        <w:t> </w:t>
      </w:r>
      <w:r>
        <w:rPr>
          <w:color w:val="231F20"/>
        </w:rPr>
        <w:t>terms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some</w:t>
      </w:r>
      <w:r>
        <w:rPr>
          <w:color w:val="231F20"/>
          <w:spacing w:val="40"/>
        </w:rPr>
        <w:t> </w:t>
      </w:r>
      <w:r>
        <w:rPr>
          <w:color w:val="231F20"/>
        </w:rPr>
        <w:t>way</w:t>
      </w:r>
      <w:r>
        <w:rPr>
          <w:color w:val="231F20"/>
          <w:spacing w:val="40"/>
        </w:rPr>
        <w:t> </w:t>
      </w:r>
      <w:r>
        <w:rPr>
          <w:color w:val="231F20"/>
        </w:rPr>
        <w:t>prior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signing the acceptance provision, the change in terms creates a counteroffer to perform on different terms. The written counter is a rejection which terminates your offer.</w:t>
      </w:r>
    </w:p>
    <w:p>
      <w:pPr>
        <w:pStyle w:val="BodyText"/>
        <w:spacing w:before="180"/>
        <w:ind w:right="117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seller’s</w:t>
      </w:r>
      <w:r>
        <w:rPr>
          <w:color w:val="231F20"/>
          <w:spacing w:val="-5"/>
        </w:rPr>
        <w:t> </w:t>
      </w:r>
      <w:r>
        <w:rPr>
          <w:color w:val="231F20"/>
        </w:rPr>
        <w:t>agent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duty</w:t>
      </w:r>
      <w:r>
        <w:rPr>
          <w:color w:val="231F20"/>
          <w:spacing w:val="-5"/>
        </w:rPr>
        <w:t> </w:t>
      </w:r>
      <w:r>
        <w:rPr>
          <w:color w:val="231F20"/>
        </w:rPr>
        <w:t>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seller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 every purchase offer they receive, regardless of the terms offered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form</w:t>
      </w:r>
      <w:r>
        <w:rPr>
          <w:color w:val="231F20"/>
          <w:spacing w:val="-1"/>
        </w:rPr>
        <w:t> </w:t>
      </w:r>
      <w:r>
        <w:rPr>
          <w:color w:val="231F20"/>
        </w:rPr>
        <w:t>used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present</w:t>
      </w:r>
      <w:r>
        <w:rPr>
          <w:color w:val="231F20"/>
          <w:spacing w:val="-1"/>
        </w:rPr>
        <w:t> </w:t>
      </w:r>
      <w:r>
        <w:rPr>
          <w:color w:val="231F20"/>
        </w:rPr>
        <w:t>it.</w:t>
      </w:r>
      <w:r>
        <w:rPr>
          <w:color w:val="231F20"/>
          <w:spacing w:val="-1"/>
        </w:rPr>
        <w:t> </w:t>
      </w:r>
      <w:r>
        <w:rPr>
          <w:color w:val="231F20"/>
        </w:rPr>
        <w:t>However,</w:t>
      </w:r>
      <w:r>
        <w:rPr>
          <w:color w:val="231F20"/>
          <w:spacing w:val="-1"/>
        </w:rPr>
        <w:t> </w:t>
      </w:r>
      <w:r>
        <w:rPr>
          <w:color w:val="231F20"/>
        </w:rPr>
        <w:t>neither</w:t>
      </w:r>
      <w:r>
        <w:rPr>
          <w:color w:val="231F20"/>
          <w:spacing w:val="-1"/>
        </w:rPr>
        <w:t> </w:t>
      </w:r>
      <w:r>
        <w:rPr>
          <w:color w:val="231F20"/>
        </w:rPr>
        <w:t>the seller nor their agent has any legal duty to respond to an offer.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failure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automatically mean your offer was not presented to the seller. Further, the</w:t>
      </w:r>
      <w:r>
        <w:rPr>
          <w:color w:val="231F20"/>
          <w:spacing w:val="-6"/>
        </w:rPr>
        <w:t> </w:t>
      </w:r>
      <w:r>
        <w:rPr>
          <w:color w:val="231F20"/>
        </w:rPr>
        <w:t>offer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enforceable.</w:t>
      </w:r>
    </w:p>
    <w:p>
      <w:pPr>
        <w:pStyle w:val="BodyText"/>
        <w:spacing w:before="180"/>
        <w:ind w:right="117"/>
      </w:pPr>
      <w:r>
        <w:rPr>
          <w:color w:val="231F20"/>
        </w:rPr>
        <w:t>In fact, the back of a business card may be used to make an offer. However, provisions in boiler-plate purchase agreement</w:t>
      </w:r>
      <w:r>
        <w:rPr>
          <w:color w:val="231F20"/>
          <w:spacing w:val="-14"/>
        </w:rPr>
        <w:t> </w:t>
      </w:r>
      <w:r>
        <w:rPr>
          <w:color w:val="231F20"/>
        </w:rPr>
        <w:t>forms</w:t>
      </w:r>
      <w:r>
        <w:rPr>
          <w:color w:val="231F20"/>
          <w:spacing w:val="-14"/>
        </w:rPr>
        <w:t> </w:t>
      </w:r>
      <w:r>
        <w:rPr>
          <w:color w:val="231F20"/>
        </w:rPr>
        <w:t>state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essential</w:t>
      </w:r>
      <w:r>
        <w:rPr>
          <w:color w:val="231F20"/>
          <w:spacing w:val="-14"/>
        </w:rPr>
        <w:t> </w:t>
      </w:r>
      <w:r>
        <w:rPr>
          <w:color w:val="231F20"/>
        </w:rPr>
        <w:t>terms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conditions</w:t>
      </w:r>
      <w:r>
        <w:rPr>
          <w:color w:val="231F20"/>
          <w:spacing w:val="-14"/>
        </w:rPr>
        <w:t> </w:t>
      </w:r>
      <w:r>
        <w:rPr>
          <w:color w:val="231F20"/>
        </w:rPr>
        <w:t>of an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clear,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enforceable when accepted.</w:t>
      </w:r>
    </w:p>
    <w:p>
      <w:pPr>
        <w:spacing w:after="0"/>
        <w:sectPr>
          <w:type w:val="continuous"/>
          <w:pgSz w:w="12240" w:h="15840"/>
          <w:pgMar w:top="720" w:bottom="280" w:left="620" w:right="600"/>
          <w:cols w:num="2" w:equalWidth="0">
            <w:col w:w="5362" w:space="217"/>
            <w:col w:w="5441"/>
          </w:cols>
        </w:sectPr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53"/>
        <w:ind w:left="0"/>
        <w:jc w:val="left"/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778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98059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778"/>
        <w:jc w:val="left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778" w:right="5380"/>
        <w:jc w:val="left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01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40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2024-09-08T23:29:16Z</dcterms:created>
  <dcterms:modified xsi:type="dcterms:W3CDTF">2024-09-08T23:29:16Z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