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2944495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2944495"/>
                          <a:chExt cx="7315200" cy="29444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94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996948"/>
                            <a:ext cx="7315200" cy="658495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40"/>
                                <w:ind w:left="86" w:right="0" w:firstLine="0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5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50"/>
                                </w:rPr>
                                <w:t>How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50"/>
                                </w:rPr>
                                <w:t>do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50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50"/>
                                </w:rPr>
                                <w:t>use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7"/>
                                  <w:w w:val="11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50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50"/>
                                </w:rPr>
                                <w:t>pest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8"/>
                                  <w:w w:val="11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50"/>
                                </w:rPr>
                                <w:t>control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7"/>
                                  <w:w w:val="11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50"/>
                                </w:rPr>
                                <w:t>report?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31.85pt;mso-position-horizontal-relative:char;mso-position-vertical-relative:line" id="docshapegroup1" coordorigin="0,0" coordsize="11520,4637">
                <v:shape style="position:absolute;left:0;top:0;width:11520;height:4637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3144;width:11520;height:1037" type="#_x0000_t202" id="docshape3" filled="true" fillcolor="#d2232a" stroked="false">
                  <v:textbox inset="0,0,0,0">
                    <w:txbxContent>
                      <w:p>
                        <w:pPr>
                          <w:spacing w:before="240"/>
                          <w:ind w:left="86" w:right="0" w:firstLine="0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5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50"/>
                          </w:rPr>
                          <w:t>How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8"/>
                            <w:w w:val="110"/>
                            <w:sz w:val="5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50"/>
                          </w:rPr>
                          <w:t>do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8"/>
                            <w:w w:val="110"/>
                            <w:sz w:val="5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50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8"/>
                            <w:w w:val="110"/>
                            <w:sz w:val="5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50"/>
                          </w:rPr>
                          <w:t>use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7"/>
                            <w:w w:val="110"/>
                            <w:sz w:val="5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50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8"/>
                            <w:w w:val="110"/>
                            <w:sz w:val="5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50"/>
                          </w:rPr>
                          <w:t>pest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8"/>
                            <w:w w:val="110"/>
                            <w:sz w:val="5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50"/>
                          </w:rPr>
                          <w:t>control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7"/>
                            <w:w w:val="110"/>
                            <w:sz w:val="5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50"/>
                          </w:rPr>
                          <w:t>report?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6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380" w:bottom="0" w:left="260" w:right="260"/>
        </w:sectPr>
      </w:pPr>
    </w:p>
    <w:p>
      <w:pPr>
        <w:spacing w:line="249" w:lineRule="auto" w:before="93"/>
        <w:ind w:left="1208" w:right="0" w:firstLine="0"/>
        <w:jc w:val="both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512">
                <wp:simplePos x="0" y="0"/>
                <wp:positionH relativeFrom="page">
                  <wp:posOffset>457200</wp:posOffset>
                </wp:positionH>
                <wp:positionV relativeFrom="paragraph">
                  <wp:posOffset>21527</wp:posOffset>
                </wp:positionV>
                <wp:extent cx="377190" cy="39878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77190" cy="398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27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56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695102pt;width:29.7pt;height:31.4pt;mso-position-horizontal-relative:page;mso-position-vertical-relative:paragraph;z-index:-15763968" type="#_x0000_t202" id="docshape4" filled="false" stroked="false">
                <v:textbox inset="0,0,0,0">
                  <w:txbxContent>
                    <w:p>
                      <w:pPr>
                        <w:spacing w:line="627" w:lineRule="exact" w:before="0"/>
                        <w:ind w:left="0" w:right="0" w:firstLine="0"/>
                        <w:jc w:val="lef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56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21"/>
        </w:rPr>
        <w:t>A </w:t>
      </w:r>
      <w:r>
        <w:rPr>
          <w:b/>
          <w:color w:val="231F20"/>
          <w:sz w:val="21"/>
        </w:rPr>
        <w:t>Structural Pest Control (SPC) report </w:t>
      </w:r>
      <w:r>
        <w:rPr>
          <w:color w:val="231F20"/>
          <w:sz w:val="21"/>
        </w:rPr>
        <w:t>is </w:t>
      </w:r>
      <w:r>
        <w:rPr>
          <w:color w:val="231F20"/>
          <w:sz w:val="21"/>
        </w:rPr>
        <w:t>not a</w:t>
      </w:r>
      <w:r>
        <w:rPr>
          <w:color w:val="231F20"/>
          <w:spacing w:val="55"/>
          <w:w w:val="150"/>
          <w:sz w:val="21"/>
        </w:rPr>
        <w:t> </w:t>
      </w:r>
      <w:r>
        <w:rPr>
          <w:color w:val="231F20"/>
          <w:sz w:val="21"/>
        </w:rPr>
        <w:t>legislatively</w:t>
      </w:r>
      <w:r>
        <w:rPr>
          <w:color w:val="231F20"/>
          <w:spacing w:val="56"/>
          <w:w w:val="150"/>
          <w:sz w:val="21"/>
        </w:rPr>
        <w:t> </w:t>
      </w:r>
      <w:r>
        <w:rPr>
          <w:color w:val="231F20"/>
          <w:sz w:val="21"/>
        </w:rPr>
        <w:t>mandated</w:t>
      </w:r>
      <w:r>
        <w:rPr>
          <w:color w:val="231F20"/>
          <w:spacing w:val="55"/>
          <w:w w:val="150"/>
          <w:sz w:val="21"/>
        </w:rPr>
        <w:t> </w:t>
      </w:r>
      <w:r>
        <w:rPr>
          <w:color w:val="231F20"/>
          <w:sz w:val="21"/>
        </w:rPr>
        <w:t>seller</w:t>
      </w:r>
      <w:r>
        <w:rPr>
          <w:color w:val="231F20"/>
          <w:spacing w:val="56"/>
          <w:w w:val="150"/>
          <w:sz w:val="21"/>
        </w:rPr>
        <w:t> </w:t>
      </w:r>
      <w:r>
        <w:rPr>
          <w:color w:val="231F20"/>
          <w:sz w:val="21"/>
        </w:rPr>
        <w:t>disclosure</w:t>
      </w:r>
      <w:r>
        <w:rPr>
          <w:color w:val="231F20"/>
          <w:spacing w:val="56"/>
          <w:w w:val="150"/>
          <w:sz w:val="21"/>
        </w:rPr>
        <w:t> </w:t>
      </w:r>
      <w:r>
        <w:rPr>
          <w:color w:val="231F20"/>
          <w:spacing w:val="-7"/>
          <w:sz w:val="21"/>
        </w:rPr>
        <w:t>in</w:t>
      </w:r>
    </w:p>
    <w:p>
      <w:pPr>
        <w:pStyle w:val="BodyText"/>
        <w:spacing w:line="249" w:lineRule="auto" w:before="2"/>
        <w:ind w:left="459"/>
        <w:jc w:val="both"/>
      </w:pPr>
      <w:r>
        <w:rPr>
          <w:color w:val="231F20"/>
        </w:rPr>
        <w:t>a California real estate transaction, unlike a Transfer Disclosure Statement (TDS) or a Natural Hazard Disclosure (NHD). Most conventional lenders do not require a NSPC report or termite clearance.</w:t>
      </w:r>
    </w:p>
    <w:p>
      <w:pPr>
        <w:pStyle w:val="BodyText"/>
        <w:spacing w:line="249" w:lineRule="auto" w:before="122"/>
        <w:ind w:left="459"/>
        <w:jc w:val="both"/>
      </w:pPr>
      <w:r>
        <w:rPr>
          <w:color w:val="231F20"/>
        </w:rPr>
        <w:t>However, the existence of pests such as termites </w:t>
      </w:r>
      <w:r>
        <w:rPr>
          <w:i/>
          <w:color w:val="231F20"/>
        </w:rPr>
        <w:t>adversely affects </w:t>
      </w:r>
      <w:r>
        <w:rPr>
          <w:color w:val="231F20"/>
        </w:rPr>
        <w:t>the value of property. Since this fact relates to value, the seller is compelled to disclose their presence before the buyer makes a decision setting the price and closing conditions in an offer submitted to the </w:t>
      </w:r>
      <w:r>
        <w:rPr>
          <w:color w:val="231F20"/>
          <w:spacing w:val="-2"/>
        </w:rPr>
        <w:t>seller.</w:t>
      </w:r>
    </w:p>
    <w:p>
      <w:pPr>
        <w:pStyle w:val="BodyText"/>
        <w:spacing w:line="249" w:lineRule="auto" w:before="124"/>
        <w:ind w:left="459"/>
        <w:jc w:val="both"/>
      </w:pP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best</w:t>
      </w:r>
      <w:r>
        <w:rPr>
          <w:color w:val="231F20"/>
          <w:spacing w:val="40"/>
        </w:rPr>
        <w:t> </w:t>
      </w:r>
      <w:r>
        <w:rPr>
          <w:color w:val="231F20"/>
        </w:rPr>
        <w:t>disclose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pest</w:t>
      </w:r>
      <w:r>
        <w:rPr>
          <w:color w:val="231F20"/>
          <w:spacing w:val="40"/>
        </w:rPr>
        <w:t> </w:t>
      </w:r>
      <w:r>
        <w:rPr>
          <w:color w:val="231F20"/>
        </w:rPr>
        <w:t>infestation,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seller</w:t>
      </w:r>
      <w:r>
        <w:rPr>
          <w:color w:val="231F20"/>
          <w:spacing w:val="40"/>
        </w:rPr>
        <w:t> </w:t>
      </w:r>
      <w:r>
        <w:rPr>
          <w:color w:val="231F20"/>
        </w:rPr>
        <w:t>orders an SPC report. The report is included as part of the marketing</w:t>
      </w:r>
      <w:r>
        <w:rPr>
          <w:color w:val="231F20"/>
          <w:spacing w:val="40"/>
        </w:rPr>
        <w:t> </w:t>
      </w:r>
      <w:r>
        <w:rPr>
          <w:color w:val="231F20"/>
        </w:rPr>
        <w:t>package</w:t>
      </w:r>
      <w:r>
        <w:rPr>
          <w:color w:val="231F20"/>
          <w:spacing w:val="40"/>
        </w:rPr>
        <w:t> </w:t>
      </w:r>
      <w:r>
        <w:rPr>
          <w:color w:val="231F20"/>
        </w:rPr>
        <w:t>for</w:t>
      </w:r>
      <w:r>
        <w:rPr>
          <w:color w:val="231F20"/>
          <w:spacing w:val="40"/>
        </w:rPr>
        <w:t> </w:t>
      </w:r>
      <w:r>
        <w:rPr>
          <w:color w:val="231F20"/>
        </w:rPr>
        <w:t>delivery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prospective</w:t>
      </w:r>
      <w:r>
        <w:rPr>
          <w:color w:val="231F20"/>
          <w:spacing w:val="40"/>
        </w:rPr>
        <w:t> </w:t>
      </w:r>
      <w:r>
        <w:rPr>
          <w:color w:val="231F20"/>
        </w:rPr>
        <w:t>buyers or their agents when they inquire about the property — before the seller enters into a purchase agreement with the buyer.</w:t>
      </w:r>
    </w:p>
    <w:p>
      <w:pPr>
        <w:spacing w:before="125"/>
        <w:ind w:left="459" w:right="0" w:firstLine="0"/>
        <w:jc w:val="both"/>
        <w:rPr>
          <w:sz w:val="21"/>
        </w:rPr>
      </w:pPr>
      <w:r>
        <w:rPr>
          <w:color w:val="231F20"/>
          <w:sz w:val="21"/>
        </w:rPr>
        <w:t>A</w:t>
      </w:r>
      <w:r>
        <w:rPr>
          <w:color w:val="231F20"/>
          <w:spacing w:val="-25"/>
          <w:sz w:val="21"/>
        </w:rPr>
        <w:t> </w:t>
      </w:r>
      <w:r>
        <w:rPr>
          <w:b/>
          <w:color w:val="231F20"/>
          <w:sz w:val="21"/>
        </w:rPr>
        <w:t>Pest</w:t>
      </w:r>
      <w:r>
        <w:rPr>
          <w:b/>
          <w:color w:val="231F20"/>
          <w:spacing w:val="-15"/>
          <w:sz w:val="21"/>
        </w:rPr>
        <w:t> </w:t>
      </w:r>
      <w:r>
        <w:rPr>
          <w:b/>
          <w:color w:val="231F20"/>
          <w:sz w:val="21"/>
        </w:rPr>
        <w:t>Control</w:t>
      </w:r>
      <w:r>
        <w:rPr>
          <w:b/>
          <w:color w:val="231F20"/>
          <w:spacing w:val="-15"/>
          <w:sz w:val="21"/>
        </w:rPr>
        <w:t> </w:t>
      </w:r>
      <w:r>
        <w:rPr>
          <w:b/>
          <w:color w:val="231F20"/>
          <w:sz w:val="21"/>
        </w:rPr>
        <w:t>Certification</w:t>
      </w:r>
      <w:r>
        <w:rPr>
          <w:b/>
          <w:color w:val="231F20"/>
          <w:spacing w:val="-14"/>
          <w:sz w:val="21"/>
        </w:rPr>
        <w:t> </w:t>
      </w:r>
      <w:r>
        <w:rPr>
          <w:color w:val="231F20"/>
          <w:sz w:val="21"/>
        </w:rPr>
        <w:t>—</w:t>
      </w:r>
      <w:r>
        <w:rPr>
          <w:color w:val="231F20"/>
          <w:spacing w:val="-15"/>
          <w:sz w:val="21"/>
        </w:rPr>
        <w:t> </w:t>
      </w:r>
      <w:r>
        <w:rPr>
          <w:color w:val="231F20"/>
          <w:sz w:val="21"/>
        </w:rPr>
        <w:t>a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certificate</w:t>
      </w:r>
      <w:r>
        <w:rPr>
          <w:color w:val="231F20"/>
          <w:spacing w:val="-15"/>
          <w:sz w:val="21"/>
        </w:rPr>
        <w:t> </w:t>
      </w:r>
      <w:r>
        <w:rPr>
          <w:color w:val="231F20"/>
          <w:sz w:val="21"/>
        </w:rPr>
        <w:t>of</w:t>
      </w:r>
      <w:r>
        <w:rPr>
          <w:color w:val="231F20"/>
          <w:spacing w:val="-14"/>
          <w:sz w:val="21"/>
        </w:rPr>
        <w:t> </w:t>
      </w:r>
      <w:r>
        <w:rPr>
          <w:color w:val="231F20"/>
          <w:spacing w:val="-2"/>
          <w:sz w:val="21"/>
        </w:rPr>
        <w:t>clearance</w:t>
      </w:r>
    </w:p>
    <w:p>
      <w:pPr>
        <w:pStyle w:val="BodyText"/>
        <w:spacing w:line="249" w:lineRule="auto" w:before="10"/>
        <w:ind w:left="459"/>
        <w:jc w:val="both"/>
      </w:pPr>
      <w:r>
        <w:rPr>
          <w:color w:val="231F20"/>
        </w:rPr>
        <w:t>—</w:t>
      </w:r>
      <w:r>
        <w:rPr>
          <w:color w:val="231F20"/>
          <w:spacing w:val="-14"/>
        </w:rPr>
        <w:t> </w:t>
      </w:r>
      <w:r>
        <w:rPr>
          <w:color w:val="231F20"/>
        </w:rPr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issued</w:t>
      </w:r>
      <w:r>
        <w:rPr>
          <w:color w:val="231F20"/>
          <w:spacing w:val="-14"/>
        </w:rPr>
        <w:t> </w:t>
      </w:r>
      <w:r>
        <w:rPr>
          <w:color w:val="231F20"/>
        </w:rPr>
        <w:t>by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SPC</w:t>
      </w:r>
      <w:r>
        <w:rPr>
          <w:color w:val="231F20"/>
          <w:spacing w:val="-14"/>
        </w:rPr>
        <w:t> </w:t>
      </w:r>
      <w:r>
        <w:rPr>
          <w:color w:val="231F20"/>
        </w:rPr>
        <w:t>company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indicate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property is free of infestation or infection in the visible and accessible areas. This certification is commonly called</w:t>
      </w:r>
      <w:r>
        <w:rPr>
          <w:color w:val="231F20"/>
          <w:spacing w:val="80"/>
        </w:rPr>
        <w:t> </w:t>
      </w:r>
      <w:r>
        <w:rPr>
          <w:color w:val="231F20"/>
        </w:rPr>
        <w:t>a </w:t>
      </w:r>
      <w:r>
        <w:rPr>
          <w:i/>
          <w:color w:val="231F20"/>
        </w:rPr>
        <w:t>termite clearance</w:t>
      </w:r>
      <w:r>
        <w:rPr>
          <w:color w:val="231F20"/>
        </w:rPr>
        <w:t>. If any infestation or infection is not corrected, it will be noted in the certification.</w:t>
      </w:r>
    </w:p>
    <w:p>
      <w:pPr>
        <w:pStyle w:val="BodyText"/>
        <w:spacing w:line="249" w:lineRule="auto" w:before="94"/>
        <w:ind w:left="319" w:right="457"/>
        <w:jc w:val="both"/>
      </w:pPr>
      <w:r>
        <w:rPr/>
        <w:br w:type="column"/>
      </w:r>
      <w:r>
        <w:rPr>
          <w:color w:val="231F20"/>
        </w:rPr>
        <w:t>The SPC report separates the findings and recommendations into two categories: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9" w:lineRule="auto" w:before="120" w:after="0"/>
        <w:ind w:left="859" w:right="457" w:hanging="270"/>
        <w:jc w:val="both"/>
        <w:rPr>
          <w:sz w:val="21"/>
        </w:rPr>
      </w:pPr>
      <w:r>
        <w:rPr>
          <w:b/>
          <w:color w:val="231F20"/>
          <w:sz w:val="21"/>
        </w:rPr>
        <w:t>Section</w:t>
      </w:r>
      <w:r>
        <w:rPr>
          <w:b/>
          <w:color w:val="231F20"/>
          <w:spacing w:val="-4"/>
          <w:sz w:val="21"/>
        </w:rPr>
        <w:t> </w:t>
      </w:r>
      <w:r>
        <w:rPr>
          <w:b/>
          <w:color w:val="231F20"/>
          <w:sz w:val="21"/>
        </w:rPr>
        <w:t>I</w:t>
      </w:r>
      <w:r>
        <w:rPr>
          <w:b/>
          <w:color w:val="231F20"/>
          <w:spacing w:val="-4"/>
          <w:sz w:val="21"/>
        </w:rPr>
        <w:t> </w:t>
      </w:r>
      <w:r>
        <w:rPr>
          <w:b/>
          <w:color w:val="231F20"/>
          <w:sz w:val="21"/>
        </w:rPr>
        <w:t>items</w:t>
      </w:r>
      <w:r>
        <w:rPr>
          <w:color w:val="231F20"/>
          <w:sz w:val="21"/>
        </w:rPr>
        <w:t>,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listing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items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with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visible</w:t>
      </w:r>
      <w:r>
        <w:rPr>
          <w:color w:val="231F20"/>
          <w:spacing w:val="-4"/>
          <w:sz w:val="21"/>
        </w:rPr>
        <w:t> </w:t>
      </w:r>
      <w:r>
        <w:rPr>
          <w:color w:val="231F20"/>
          <w:sz w:val="21"/>
        </w:rPr>
        <w:t>evidence of active infestations, infections or conditions that have</w:t>
      </w:r>
      <w:r>
        <w:rPr>
          <w:color w:val="231F20"/>
          <w:spacing w:val="-15"/>
          <w:sz w:val="21"/>
        </w:rPr>
        <w:t> </w:t>
      </w:r>
      <w:r>
        <w:rPr>
          <w:color w:val="231F20"/>
          <w:sz w:val="21"/>
        </w:rPr>
        <w:t>resulted</w:t>
      </w:r>
      <w:r>
        <w:rPr>
          <w:color w:val="231F20"/>
          <w:spacing w:val="-15"/>
          <w:sz w:val="21"/>
        </w:rPr>
        <w:t> </w:t>
      </w:r>
      <w:r>
        <w:rPr>
          <w:color w:val="231F20"/>
          <w:sz w:val="21"/>
        </w:rPr>
        <w:t>in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or</w:t>
      </w:r>
      <w:r>
        <w:rPr>
          <w:color w:val="231F20"/>
          <w:spacing w:val="-15"/>
          <w:sz w:val="21"/>
        </w:rPr>
        <w:t> </w:t>
      </w:r>
      <w:r>
        <w:rPr>
          <w:color w:val="231F20"/>
          <w:sz w:val="21"/>
        </w:rPr>
        <w:t>from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infestation</w:t>
      </w:r>
      <w:r>
        <w:rPr>
          <w:color w:val="231F20"/>
          <w:spacing w:val="-15"/>
          <w:sz w:val="21"/>
        </w:rPr>
        <w:t> </w:t>
      </w:r>
      <w:r>
        <w:rPr>
          <w:color w:val="231F20"/>
          <w:sz w:val="21"/>
        </w:rPr>
        <w:t>or</w:t>
      </w:r>
      <w:r>
        <w:rPr>
          <w:color w:val="231F20"/>
          <w:spacing w:val="-15"/>
          <w:sz w:val="21"/>
        </w:rPr>
        <w:t> </w:t>
      </w:r>
      <w:r>
        <w:rPr>
          <w:color w:val="231F20"/>
          <w:sz w:val="21"/>
        </w:rPr>
        <w:t>infection;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and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9" w:val="left" w:leader="none"/>
        </w:tabs>
        <w:spacing w:line="249" w:lineRule="auto" w:before="122" w:after="0"/>
        <w:ind w:left="859" w:right="458" w:hanging="271"/>
        <w:jc w:val="both"/>
        <w:rPr>
          <w:sz w:val="21"/>
        </w:rPr>
      </w:pPr>
      <w:r>
        <w:rPr>
          <w:b/>
          <w:color w:val="231F20"/>
          <w:sz w:val="21"/>
        </w:rPr>
        <w:t>Section</w:t>
      </w:r>
      <w:r>
        <w:rPr>
          <w:b/>
          <w:color w:val="231F20"/>
          <w:spacing w:val="-15"/>
          <w:sz w:val="21"/>
        </w:rPr>
        <w:t> </w:t>
      </w:r>
      <w:r>
        <w:rPr>
          <w:b/>
          <w:color w:val="231F20"/>
          <w:sz w:val="21"/>
        </w:rPr>
        <w:t>II</w:t>
      </w:r>
      <w:r>
        <w:rPr>
          <w:b/>
          <w:color w:val="231F20"/>
          <w:spacing w:val="-15"/>
          <w:sz w:val="21"/>
        </w:rPr>
        <w:t> </w:t>
      </w:r>
      <w:r>
        <w:rPr>
          <w:b/>
          <w:color w:val="231F20"/>
          <w:sz w:val="21"/>
        </w:rPr>
        <w:t>items</w:t>
      </w:r>
      <w:r>
        <w:rPr>
          <w:color w:val="231F20"/>
          <w:sz w:val="21"/>
        </w:rPr>
        <w:t>,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listing</w:t>
      </w:r>
      <w:r>
        <w:rPr>
          <w:color w:val="231F20"/>
          <w:spacing w:val="-15"/>
          <w:sz w:val="21"/>
        </w:rPr>
        <w:t> </w:t>
      </w:r>
      <w:r>
        <w:rPr>
          <w:color w:val="231F20"/>
          <w:sz w:val="21"/>
        </w:rPr>
        <w:t>conditions</w:t>
      </w:r>
      <w:r>
        <w:rPr>
          <w:color w:val="231F20"/>
          <w:spacing w:val="-14"/>
          <w:sz w:val="21"/>
        </w:rPr>
        <w:t> </w:t>
      </w:r>
      <w:r>
        <w:rPr>
          <w:color w:val="231F20"/>
          <w:sz w:val="21"/>
        </w:rPr>
        <w:t>deemed</w:t>
      </w:r>
      <w:r>
        <w:rPr>
          <w:color w:val="231F20"/>
          <w:spacing w:val="-15"/>
          <w:sz w:val="21"/>
        </w:rPr>
        <w:t> </w:t>
      </w:r>
      <w:r>
        <w:rPr>
          <w:color w:val="231F20"/>
          <w:sz w:val="21"/>
        </w:rPr>
        <w:t>likely</w:t>
      </w:r>
      <w:r>
        <w:rPr>
          <w:color w:val="231F20"/>
          <w:spacing w:val="-15"/>
          <w:sz w:val="21"/>
        </w:rPr>
        <w:t> </w:t>
      </w:r>
      <w:r>
        <w:rPr>
          <w:color w:val="231F20"/>
          <w:sz w:val="21"/>
        </w:rPr>
        <w:t>to lead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to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infestation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or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infection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but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where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no</w:t>
      </w:r>
      <w:r>
        <w:rPr>
          <w:color w:val="231F20"/>
          <w:spacing w:val="-1"/>
          <w:sz w:val="21"/>
        </w:rPr>
        <w:t> </w:t>
      </w:r>
      <w:r>
        <w:rPr>
          <w:color w:val="231F20"/>
          <w:sz w:val="21"/>
        </w:rPr>
        <w:t>visible evidence of infestation or infection was found.</w:t>
      </w:r>
    </w:p>
    <w:p>
      <w:pPr>
        <w:pStyle w:val="BodyText"/>
        <w:spacing w:line="249" w:lineRule="auto" w:before="121"/>
        <w:ind w:left="319" w:right="457"/>
        <w:jc w:val="both"/>
      </w:pPr>
      <w:r>
        <w:rPr>
          <w:color w:val="231F20"/>
        </w:rPr>
        <w:t>If a seller has obtained an SPC report which discloses the existence of conditions that have an adverse effect on</w:t>
      </w:r>
      <w:r>
        <w:rPr>
          <w:color w:val="231F20"/>
          <w:spacing w:val="-12"/>
        </w:rPr>
        <w:t> </w:t>
      </w:r>
      <w:r>
        <w:rPr>
          <w:color w:val="231F20"/>
        </w:rPr>
        <w:t>value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does</w:t>
      </w:r>
      <w:r>
        <w:rPr>
          <w:color w:val="231F20"/>
          <w:spacing w:val="-12"/>
        </w:rPr>
        <w:t> </w:t>
      </w:r>
      <w:r>
        <w:rPr>
          <w:color w:val="231F20"/>
        </w:rPr>
        <w:t>not</w:t>
      </w:r>
      <w:r>
        <w:rPr>
          <w:color w:val="231F20"/>
          <w:spacing w:val="-12"/>
        </w:rPr>
        <w:t> </w:t>
      </w:r>
      <w:r>
        <w:rPr>
          <w:color w:val="231F20"/>
        </w:rPr>
        <w:t>inform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buyer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contents</w:t>
      </w:r>
      <w:r>
        <w:rPr>
          <w:color w:val="231F20"/>
          <w:spacing w:val="-12"/>
        </w:rPr>
        <w:t> </w:t>
      </w:r>
      <w:r>
        <w:rPr>
          <w:color w:val="231F20"/>
        </w:rPr>
        <w:t>of the report, the seller is defrauding the buyer. Therefore, the buyer may pursue the seller and the seller’s broker/ agent to recover the cost of repairs, either prior to or after the close of escrow. Provisions in the purchase agreement</w:t>
      </w:r>
      <w:r>
        <w:rPr>
          <w:color w:val="231F20"/>
          <w:spacing w:val="-12"/>
        </w:rPr>
        <w:t> </w:t>
      </w:r>
      <w:r>
        <w:rPr>
          <w:color w:val="231F20"/>
        </w:rPr>
        <w:t>allowing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seller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entirely</w:t>
      </w:r>
      <w:r>
        <w:rPr>
          <w:color w:val="231F20"/>
          <w:spacing w:val="-12"/>
        </w:rPr>
        <w:t> </w:t>
      </w:r>
      <w:r>
        <w:rPr>
          <w:color w:val="231F20"/>
        </w:rPr>
        <w:t>avoid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cost</w:t>
      </w:r>
      <w:r>
        <w:rPr>
          <w:color w:val="231F20"/>
          <w:spacing w:val="-12"/>
        </w:rPr>
        <w:t> </w:t>
      </w:r>
      <w:r>
        <w:rPr>
          <w:color w:val="231F20"/>
        </w:rPr>
        <w:t>of termite clearance and repairs are not enforceable when known</w:t>
      </w:r>
      <w:r>
        <w:rPr>
          <w:color w:val="231F20"/>
          <w:spacing w:val="-1"/>
        </w:rPr>
        <w:t> </w:t>
      </w:r>
      <w:r>
        <w:rPr>
          <w:color w:val="231F20"/>
        </w:rPr>
        <w:t>defects</w:t>
      </w:r>
      <w:r>
        <w:rPr>
          <w:color w:val="231F20"/>
          <w:spacing w:val="-1"/>
        </w:rPr>
        <w:t> </w:t>
      </w:r>
      <w:r>
        <w:rPr>
          <w:color w:val="231F20"/>
        </w:rPr>
        <w:t>go</w:t>
      </w:r>
      <w:r>
        <w:rPr>
          <w:color w:val="231F20"/>
          <w:spacing w:val="-1"/>
        </w:rPr>
        <w:t> </w:t>
      </w:r>
      <w:r>
        <w:rPr>
          <w:color w:val="231F20"/>
        </w:rPr>
        <w:t>undisclosed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time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buyer</w:t>
      </w:r>
      <w:r>
        <w:rPr>
          <w:color w:val="231F20"/>
          <w:spacing w:val="-1"/>
        </w:rPr>
        <w:t> </w:t>
      </w:r>
      <w:r>
        <w:rPr>
          <w:color w:val="231F20"/>
        </w:rPr>
        <w:t>and seller enter into a purchase agreement.</w:t>
      </w:r>
    </w:p>
    <w:p>
      <w:pPr>
        <w:pStyle w:val="BodyText"/>
        <w:spacing w:line="249" w:lineRule="auto" w:before="128"/>
        <w:ind w:left="319" w:right="457"/>
        <w:jc w:val="both"/>
      </w:pPr>
      <w:r>
        <w:rPr>
          <w:color w:val="231F20"/>
        </w:rPr>
        <w:t>Further,</w:t>
      </w:r>
      <w:r>
        <w:rPr>
          <w:color w:val="231F20"/>
          <w:spacing w:val="-10"/>
        </w:rPr>
        <w:t> </w:t>
      </w:r>
      <w:r>
        <w:rPr>
          <w:color w:val="231F20"/>
        </w:rPr>
        <w:t>when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seller</w:t>
      </w:r>
      <w:r>
        <w:rPr>
          <w:color w:val="231F20"/>
          <w:spacing w:val="-10"/>
        </w:rPr>
        <w:t> </w:t>
      </w:r>
      <w:r>
        <w:rPr>
          <w:color w:val="231F20"/>
        </w:rPr>
        <w:t>does</w:t>
      </w:r>
      <w:r>
        <w:rPr>
          <w:color w:val="231F20"/>
          <w:spacing w:val="-10"/>
        </w:rPr>
        <w:t> </w:t>
      </w:r>
      <w:r>
        <w:rPr>
          <w:color w:val="231F20"/>
        </w:rPr>
        <w:t>not</w:t>
      </w:r>
      <w:r>
        <w:rPr>
          <w:color w:val="231F20"/>
          <w:spacing w:val="-10"/>
        </w:rPr>
        <w:t> </w:t>
      </w:r>
      <w:r>
        <w:rPr>
          <w:color w:val="231F20"/>
        </w:rPr>
        <w:t>provide</w:t>
      </w:r>
      <w:r>
        <w:rPr>
          <w:color w:val="231F20"/>
          <w:spacing w:val="-10"/>
        </w:rPr>
        <w:t> </w:t>
      </w:r>
      <w:r>
        <w:rPr>
          <w:color w:val="231F20"/>
        </w:rPr>
        <w:t>an</w:t>
      </w:r>
      <w:r>
        <w:rPr>
          <w:color w:val="231F20"/>
          <w:spacing w:val="-10"/>
        </w:rPr>
        <w:t> </w:t>
      </w:r>
      <w:r>
        <w:rPr>
          <w:color w:val="231F20"/>
        </w:rPr>
        <w:t>SPC</w:t>
      </w:r>
      <w:r>
        <w:rPr>
          <w:color w:val="231F20"/>
          <w:spacing w:val="-10"/>
        </w:rPr>
        <w:t> </w:t>
      </w:r>
      <w:r>
        <w:rPr>
          <w:color w:val="231F20"/>
        </w:rPr>
        <w:t>report, the buyer needs to consider ordering their own SPC </w:t>
      </w:r>
      <w:r>
        <w:rPr>
          <w:color w:val="231F20"/>
          <w:spacing w:val="-2"/>
        </w:rPr>
        <w:t>report.</w:t>
      </w:r>
    </w:p>
    <w:p>
      <w:pPr>
        <w:spacing w:after="0" w:line="249" w:lineRule="auto"/>
        <w:jc w:val="both"/>
        <w:sectPr>
          <w:type w:val="continuous"/>
          <w:pgSz w:w="12240" w:h="15840"/>
          <w:pgMar w:top="38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113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97971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113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1138" w:right="572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163182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12.849024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59" w:hanging="271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3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7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1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5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9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3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7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1" w:hanging="2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859" w:right="457" w:hanging="271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2024-09-09T00:51:26Z</dcterms:created>
  <dcterms:modified xsi:type="dcterms:W3CDTF">2024-09-09T00:51:26Z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