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0"/>
        <w:rPr>
          <w:rFonts w:ascii="Times New Roman"/>
          <w:sz w:val="20"/>
        </w:rPr>
      </w:pPr>
      <w:r>
        <w:rPr>
          <w:rFonts w:ascii="Times New Roman"/>
          <w:sz w:val="20"/>
        </w:rPr>
        <mc:AlternateContent>
          <mc:Choice Requires="wps">
            <w:drawing>
              <wp:inline distT="0" distB="0" distL="0" distR="0">
                <wp:extent cx="7315200" cy="3274060"/>
                <wp:effectExtent l="0" t="0" r="0" b="2539"/>
                <wp:docPr id="1" name="Group 1"/>
                <wp:cNvGraphicFramePr>
                  <a:graphicFrameLocks/>
                </wp:cNvGraphicFramePr>
                <a:graphic>
                  <a:graphicData uri="http://schemas.microsoft.com/office/word/2010/wordprocessingGroup">
                    <wpg:wgp>
                      <wpg:cNvPr id="1" name="Group 1"/>
                      <wpg:cNvGrpSpPr/>
                      <wpg:grpSpPr>
                        <a:xfrm>
                          <a:off x="0" y="0"/>
                          <a:ext cx="7315200" cy="3274060"/>
                          <a:chExt cx="7315200" cy="3274060"/>
                        </a:xfrm>
                      </wpg:grpSpPr>
                      <pic:pic>
                        <pic:nvPicPr>
                          <pic:cNvPr id="2" name="Image 2"/>
                          <pic:cNvPicPr/>
                        </pic:nvPicPr>
                        <pic:blipFill>
                          <a:blip r:embed="rId5" cstate="print"/>
                          <a:stretch>
                            <a:fillRect/>
                          </a:stretch>
                        </pic:blipFill>
                        <pic:spPr>
                          <a:xfrm>
                            <a:off x="0" y="0"/>
                            <a:ext cx="7315200" cy="3273552"/>
                          </a:xfrm>
                          <a:prstGeom prst="rect">
                            <a:avLst/>
                          </a:prstGeom>
                        </pic:spPr>
                      </pic:pic>
                      <wps:wsp>
                        <wps:cNvPr id="3" name="Textbox 3"/>
                        <wps:cNvSpPr txBox="1"/>
                        <wps:spPr>
                          <a:xfrm>
                            <a:off x="0" y="2022855"/>
                            <a:ext cx="7315200" cy="835660"/>
                          </a:xfrm>
                          <a:prstGeom prst="rect">
                            <a:avLst/>
                          </a:prstGeom>
                          <a:solidFill>
                            <a:srgbClr val="D2232A">
                              <a:alpha val="79998"/>
                            </a:srgbClr>
                          </a:solidFill>
                        </wps:spPr>
                        <wps:txbx>
                          <w:txbxContent>
                            <w:p>
                              <w:pPr>
                                <w:spacing w:before="402"/>
                                <w:ind w:left="86" w:right="0" w:firstLine="0"/>
                                <w:jc w:val="center"/>
                                <w:rPr>
                                  <w:rFonts w:ascii="Times New Roman"/>
                                  <w:b/>
                                  <w:color w:val="000000"/>
                                  <w:sz w:val="46"/>
                                </w:rPr>
                              </w:pPr>
                              <w:r>
                                <w:rPr>
                                  <w:rFonts w:ascii="Times New Roman"/>
                                  <w:b/>
                                  <w:color w:val="FFFFFF"/>
                                  <w:w w:val="110"/>
                                  <w:sz w:val="46"/>
                                </w:rPr>
                                <w:t>What</w:t>
                              </w:r>
                              <w:r>
                                <w:rPr>
                                  <w:rFonts w:ascii="Times New Roman"/>
                                  <w:b/>
                                  <w:color w:val="FFFFFF"/>
                                  <w:spacing w:val="-5"/>
                                  <w:w w:val="110"/>
                                  <w:sz w:val="46"/>
                                </w:rPr>
                                <w:t> </w:t>
                              </w:r>
                              <w:r>
                                <w:rPr>
                                  <w:rFonts w:ascii="Times New Roman"/>
                                  <w:b/>
                                  <w:color w:val="FFFFFF"/>
                                  <w:w w:val="110"/>
                                  <w:sz w:val="46"/>
                                </w:rPr>
                                <w:t>is</w:t>
                              </w:r>
                              <w:r>
                                <w:rPr>
                                  <w:rFonts w:ascii="Times New Roman"/>
                                  <w:b/>
                                  <w:color w:val="FFFFFF"/>
                                  <w:spacing w:val="-5"/>
                                  <w:w w:val="110"/>
                                  <w:sz w:val="46"/>
                                </w:rPr>
                                <w:t> </w:t>
                              </w:r>
                              <w:r>
                                <w:rPr>
                                  <w:rFonts w:ascii="Times New Roman"/>
                                  <w:b/>
                                  <w:color w:val="FFFFFF"/>
                                  <w:w w:val="110"/>
                                  <w:sz w:val="46"/>
                                </w:rPr>
                                <w:t>a</w:t>
                              </w:r>
                              <w:r>
                                <w:rPr>
                                  <w:rFonts w:ascii="Times New Roman"/>
                                  <w:b/>
                                  <w:color w:val="FFFFFF"/>
                                  <w:spacing w:val="-4"/>
                                  <w:w w:val="110"/>
                                  <w:sz w:val="46"/>
                                </w:rPr>
                                <w:t> </w:t>
                              </w:r>
                              <w:r>
                                <w:rPr>
                                  <w:rFonts w:ascii="Times New Roman"/>
                                  <w:b/>
                                  <w:color w:val="FFFFFF"/>
                                  <w:w w:val="110"/>
                                  <w:sz w:val="46"/>
                                </w:rPr>
                                <w:t>preliminary</w:t>
                              </w:r>
                              <w:r>
                                <w:rPr>
                                  <w:rFonts w:ascii="Times New Roman"/>
                                  <w:b/>
                                  <w:color w:val="FFFFFF"/>
                                  <w:spacing w:val="-5"/>
                                  <w:w w:val="110"/>
                                  <w:sz w:val="46"/>
                                </w:rPr>
                                <w:t> </w:t>
                              </w:r>
                              <w:r>
                                <w:rPr>
                                  <w:rFonts w:ascii="Times New Roman"/>
                                  <w:b/>
                                  <w:color w:val="FFFFFF"/>
                                  <w:w w:val="110"/>
                                  <w:sz w:val="46"/>
                                </w:rPr>
                                <w:t>title</w:t>
                              </w:r>
                              <w:r>
                                <w:rPr>
                                  <w:rFonts w:ascii="Times New Roman"/>
                                  <w:b/>
                                  <w:color w:val="FFFFFF"/>
                                  <w:spacing w:val="-4"/>
                                  <w:w w:val="110"/>
                                  <w:sz w:val="46"/>
                                </w:rPr>
                                <w:t> </w:t>
                              </w:r>
                              <w:r>
                                <w:rPr>
                                  <w:rFonts w:ascii="Times New Roman"/>
                                  <w:b/>
                                  <w:color w:val="FFFFFF"/>
                                  <w:spacing w:val="-2"/>
                                  <w:w w:val="110"/>
                                  <w:sz w:val="46"/>
                                </w:rPr>
                                <w:t>report?</w:t>
                              </w:r>
                            </w:p>
                          </w:txbxContent>
                        </wps:txbx>
                        <wps:bodyPr wrap="square" lIns="0" tIns="0" rIns="0" bIns="0" rtlCol="0">
                          <a:noAutofit/>
                        </wps:bodyPr>
                      </wps:wsp>
                    </wpg:wgp>
                  </a:graphicData>
                </a:graphic>
              </wp:inline>
            </w:drawing>
          </mc:Choice>
          <mc:Fallback>
            <w:pict>
              <v:group style="width:576pt;height:257.8pt;mso-position-horizontal-relative:char;mso-position-vertical-relative:line" id="docshapegroup1" coordorigin="0,0" coordsize="11520,5156">
                <v:shape style="position:absolute;left:0;top:0;width:11520;height:5156" type="#_x0000_t75" id="docshape2" stroked="false">
                  <v:imagedata r:id="rId5" o:title=""/>
                </v:shape>
                <v:shapetype id="_x0000_t202" o:spt="202" coordsize="21600,21600" path="m,l,21600r21600,l21600,xe">
                  <v:stroke joinstyle="miter"/>
                  <v:path gradientshapeok="t" o:connecttype="rect"/>
                </v:shapetype>
                <v:shape style="position:absolute;left:0;top:3185;width:11520;height:1316" type="#_x0000_t202" id="docshape3" filled="true" fillcolor="#d2232a" stroked="false">
                  <v:textbox inset="0,0,0,0">
                    <w:txbxContent>
                      <w:p>
                        <w:pPr>
                          <w:spacing w:before="402"/>
                          <w:ind w:left="86" w:right="0" w:firstLine="0"/>
                          <w:jc w:val="center"/>
                          <w:rPr>
                            <w:rFonts w:ascii="Times New Roman"/>
                            <w:b/>
                            <w:color w:val="000000"/>
                            <w:sz w:val="46"/>
                          </w:rPr>
                        </w:pPr>
                        <w:r>
                          <w:rPr>
                            <w:rFonts w:ascii="Times New Roman"/>
                            <w:b/>
                            <w:color w:val="FFFFFF"/>
                            <w:w w:val="110"/>
                            <w:sz w:val="46"/>
                          </w:rPr>
                          <w:t>What</w:t>
                        </w:r>
                        <w:r>
                          <w:rPr>
                            <w:rFonts w:ascii="Times New Roman"/>
                            <w:b/>
                            <w:color w:val="FFFFFF"/>
                            <w:spacing w:val="-5"/>
                            <w:w w:val="110"/>
                            <w:sz w:val="46"/>
                          </w:rPr>
                          <w:t> </w:t>
                        </w:r>
                        <w:r>
                          <w:rPr>
                            <w:rFonts w:ascii="Times New Roman"/>
                            <w:b/>
                            <w:color w:val="FFFFFF"/>
                            <w:w w:val="110"/>
                            <w:sz w:val="46"/>
                          </w:rPr>
                          <w:t>is</w:t>
                        </w:r>
                        <w:r>
                          <w:rPr>
                            <w:rFonts w:ascii="Times New Roman"/>
                            <w:b/>
                            <w:color w:val="FFFFFF"/>
                            <w:spacing w:val="-5"/>
                            <w:w w:val="110"/>
                            <w:sz w:val="46"/>
                          </w:rPr>
                          <w:t> </w:t>
                        </w:r>
                        <w:r>
                          <w:rPr>
                            <w:rFonts w:ascii="Times New Roman"/>
                            <w:b/>
                            <w:color w:val="FFFFFF"/>
                            <w:w w:val="110"/>
                            <w:sz w:val="46"/>
                          </w:rPr>
                          <w:t>a</w:t>
                        </w:r>
                        <w:r>
                          <w:rPr>
                            <w:rFonts w:ascii="Times New Roman"/>
                            <w:b/>
                            <w:color w:val="FFFFFF"/>
                            <w:spacing w:val="-4"/>
                            <w:w w:val="110"/>
                            <w:sz w:val="46"/>
                          </w:rPr>
                          <w:t> </w:t>
                        </w:r>
                        <w:r>
                          <w:rPr>
                            <w:rFonts w:ascii="Times New Roman"/>
                            <w:b/>
                            <w:color w:val="FFFFFF"/>
                            <w:w w:val="110"/>
                            <w:sz w:val="46"/>
                          </w:rPr>
                          <w:t>preliminary</w:t>
                        </w:r>
                        <w:r>
                          <w:rPr>
                            <w:rFonts w:ascii="Times New Roman"/>
                            <w:b/>
                            <w:color w:val="FFFFFF"/>
                            <w:spacing w:val="-5"/>
                            <w:w w:val="110"/>
                            <w:sz w:val="46"/>
                          </w:rPr>
                          <w:t> </w:t>
                        </w:r>
                        <w:r>
                          <w:rPr>
                            <w:rFonts w:ascii="Times New Roman"/>
                            <w:b/>
                            <w:color w:val="FFFFFF"/>
                            <w:w w:val="110"/>
                            <w:sz w:val="46"/>
                          </w:rPr>
                          <w:t>title</w:t>
                        </w:r>
                        <w:r>
                          <w:rPr>
                            <w:rFonts w:ascii="Times New Roman"/>
                            <w:b/>
                            <w:color w:val="FFFFFF"/>
                            <w:spacing w:val="-4"/>
                            <w:w w:val="110"/>
                            <w:sz w:val="46"/>
                          </w:rPr>
                          <w:t> </w:t>
                        </w:r>
                        <w:r>
                          <w:rPr>
                            <w:rFonts w:ascii="Times New Roman"/>
                            <w:b/>
                            <w:color w:val="FFFFFF"/>
                            <w:spacing w:val="-2"/>
                            <w:w w:val="110"/>
                            <w:sz w:val="46"/>
                          </w:rPr>
                          <w:t>report?</w:t>
                        </w:r>
                      </w:p>
                    </w:txbxContent>
                  </v:textbox>
                  <v:fill opacity="52428f" type="solid"/>
                  <w10:wrap type="none"/>
                </v:shape>
              </v:group>
            </w:pict>
          </mc:Fallback>
        </mc:AlternateContent>
      </w:r>
      <w:r>
        <w:rPr>
          <w:rFonts w:ascii="Times New Roman"/>
          <w:sz w:val="20"/>
        </w:rPr>
      </w:r>
    </w:p>
    <w:p>
      <w:pPr>
        <w:pStyle w:val="BodyText"/>
        <w:spacing w:before="190"/>
        <w:rPr>
          <w:rFonts w:ascii="Times New Roman"/>
          <w:sz w:val="20"/>
        </w:rPr>
      </w:pPr>
    </w:p>
    <w:p>
      <w:pPr>
        <w:spacing w:after="0"/>
        <w:rPr>
          <w:rFonts w:ascii="Times New Roman"/>
          <w:sz w:val="20"/>
        </w:rPr>
        <w:sectPr>
          <w:type w:val="continuous"/>
          <w:pgSz w:w="12240" w:h="15840"/>
          <w:pgMar w:top="380" w:bottom="0" w:left="260" w:right="260"/>
        </w:sectPr>
      </w:pPr>
    </w:p>
    <w:p>
      <w:pPr>
        <w:spacing w:before="93"/>
        <w:ind w:left="1293" w:right="0" w:firstLine="0"/>
        <w:jc w:val="both"/>
        <w:rPr>
          <w:sz w:val="24"/>
        </w:rPr>
      </w:pPr>
      <w:r>
        <w:rPr/>
        <mc:AlternateContent>
          <mc:Choice Requires="wps">
            <w:drawing>
              <wp:anchor distT="0" distB="0" distL="0" distR="0" allowOverlap="1" layoutInCell="1" locked="0" behindDoc="1" simplePos="0" relativeHeight="487552000">
                <wp:simplePos x="0" y="0"/>
                <wp:positionH relativeFrom="page">
                  <wp:posOffset>457200</wp:posOffset>
                </wp:positionH>
                <wp:positionV relativeFrom="paragraph">
                  <wp:posOffset>17800</wp:posOffset>
                </wp:positionV>
                <wp:extent cx="419734" cy="4438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19734" cy="443865"/>
                        </a:xfrm>
                        <a:prstGeom prst="rect">
                          <a:avLst/>
                        </a:prstGeom>
                      </wps:spPr>
                      <wps:txbx>
                        <w:txbxContent>
                          <w:p>
                            <w:pPr>
                              <w:spacing w:line="698" w:lineRule="exact" w:before="0"/>
                              <w:ind w:left="0" w:right="0" w:firstLine="0"/>
                              <w:jc w:val="left"/>
                              <w:rPr>
                                <w:b/>
                                <w:sz w:val="62"/>
                              </w:rPr>
                            </w:pPr>
                            <w:r>
                              <w:rPr>
                                <w:b/>
                                <w:color w:val="D2232A"/>
                                <w:spacing w:val="-5"/>
                                <w:sz w:val="62"/>
                              </w:rPr>
                              <w:t>A:</w:t>
                            </w:r>
                          </w:p>
                        </w:txbxContent>
                      </wps:txbx>
                      <wps:bodyPr wrap="square" lIns="0" tIns="0" rIns="0" bIns="0" rtlCol="0">
                        <a:noAutofit/>
                      </wps:bodyPr>
                    </wps:wsp>
                  </a:graphicData>
                </a:graphic>
              </wp:anchor>
            </w:drawing>
          </mc:Choice>
          <mc:Fallback>
            <w:pict>
              <v:shape style="position:absolute;margin-left:36pt;margin-top:1.40159pt;width:33.050pt;height:34.950pt;mso-position-horizontal-relative:page;mso-position-vertical-relative:paragraph;z-index:-15764480" type="#_x0000_t202" id="docshape4" filled="false" stroked="false">
                <v:textbox inset="0,0,0,0">
                  <w:txbxContent>
                    <w:p>
                      <w:pPr>
                        <w:spacing w:line="698" w:lineRule="exact" w:before="0"/>
                        <w:ind w:left="0" w:right="0" w:firstLine="0"/>
                        <w:jc w:val="left"/>
                        <w:rPr>
                          <w:b/>
                          <w:sz w:val="62"/>
                        </w:rPr>
                      </w:pPr>
                      <w:r>
                        <w:rPr>
                          <w:b/>
                          <w:color w:val="D2232A"/>
                          <w:spacing w:val="-5"/>
                          <w:sz w:val="62"/>
                        </w:rPr>
                        <w:t>A:</w:t>
                      </w:r>
                    </w:p>
                  </w:txbxContent>
                </v:textbox>
                <w10:wrap type="none"/>
              </v:shape>
            </w:pict>
          </mc:Fallback>
        </mc:AlternateContent>
      </w:r>
      <w:r>
        <w:rPr>
          <w:color w:val="231F20"/>
          <w:sz w:val="24"/>
        </w:rPr>
        <w:t>A </w:t>
      </w:r>
      <w:r>
        <w:rPr>
          <w:b/>
          <w:color w:val="231F20"/>
          <w:sz w:val="24"/>
        </w:rPr>
        <w:t>preliminary title report, also known as</w:t>
      </w:r>
      <w:r>
        <w:rPr>
          <w:b/>
          <w:color w:val="231F20"/>
          <w:spacing w:val="-5"/>
          <w:sz w:val="24"/>
        </w:rPr>
        <w:t> </w:t>
      </w:r>
      <w:r>
        <w:rPr>
          <w:b/>
          <w:color w:val="231F20"/>
          <w:sz w:val="24"/>
        </w:rPr>
        <w:t>a</w:t>
      </w:r>
      <w:r>
        <w:rPr>
          <w:b/>
          <w:color w:val="231F20"/>
          <w:spacing w:val="-5"/>
          <w:sz w:val="24"/>
        </w:rPr>
        <w:t> </w:t>
      </w:r>
      <w:r>
        <w:rPr>
          <w:b/>
          <w:color w:val="231F20"/>
          <w:sz w:val="24"/>
        </w:rPr>
        <w:t>prelim</w:t>
      </w:r>
      <w:r>
        <w:rPr>
          <w:color w:val="231F20"/>
          <w:sz w:val="24"/>
        </w:rPr>
        <w:t>,</w:t>
      </w:r>
      <w:r>
        <w:rPr>
          <w:color w:val="231F20"/>
          <w:spacing w:val="-5"/>
          <w:sz w:val="24"/>
        </w:rPr>
        <w:t> </w:t>
      </w:r>
      <w:r>
        <w:rPr>
          <w:color w:val="231F20"/>
          <w:sz w:val="24"/>
        </w:rPr>
        <w:t>is</w:t>
      </w:r>
      <w:r>
        <w:rPr>
          <w:color w:val="231F20"/>
          <w:spacing w:val="-5"/>
          <w:sz w:val="24"/>
        </w:rPr>
        <w:t> </w:t>
      </w:r>
      <w:r>
        <w:rPr>
          <w:color w:val="231F20"/>
          <w:sz w:val="24"/>
        </w:rPr>
        <w:t>a</w:t>
      </w:r>
      <w:r>
        <w:rPr>
          <w:color w:val="231F20"/>
          <w:spacing w:val="-5"/>
          <w:sz w:val="24"/>
        </w:rPr>
        <w:t> </w:t>
      </w:r>
      <w:r>
        <w:rPr>
          <w:color w:val="231F20"/>
          <w:sz w:val="24"/>
        </w:rPr>
        <w:t>revocable</w:t>
      </w:r>
      <w:r>
        <w:rPr>
          <w:color w:val="231F20"/>
          <w:spacing w:val="-5"/>
          <w:sz w:val="24"/>
        </w:rPr>
        <w:t> </w:t>
      </w:r>
      <w:r>
        <w:rPr>
          <w:color w:val="231F20"/>
          <w:sz w:val="24"/>
        </w:rPr>
        <w:t>offer</w:t>
      </w:r>
      <w:r>
        <w:rPr>
          <w:color w:val="231F20"/>
          <w:spacing w:val="-5"/>
          <w:sz w:val="24"/>
        </w:rPr>
        <w:t> </w:t>
      </w:r>
      <w:r>
        <w:rPr>
          <w:color w:val="231F20"/>
          <w:sz w:val="24"/>
        </w:rPr>
        <w:t>made</w:t>
      </w:r>
      <w:r>
        <w:rPr>
          <w:color w:val="231F20"/>
          <w:spacing w:val="-4"/>
          <w:sz w:val="24"/>
        </w:rPr>
        <w:t> </w:t>
      </w:r>
      <w:r>
        <w:rPr>
          <w:color w:val="231F20"/>
          <w:spacing w:val="-5"/>
          <w:sz w:val="24"/>
        </w:rPr>
        <w:t>by</w:t>
      </w:r>
    </w:p>
    <w:p>
      <w:pPr>
        <w:pStyle w:val="BodyText"/>
        <w:ind w:left="459"/>
        <w:jc w:val="both"/>
      </w:pPr>
      <w:r>
        <w:rPr>
          <w:color w:val="231F20"/>
        </w:rPr>
        <w:t>a</w:t>
      </w:r>
      <w:r>
        <w:rPr>
          <w:color w:val="231F20"/>
          <w:spacing w:val="-12"/>
        </w:rPr>
        <w:t> </w:t>
      </w:r>
      <w:r>
        <w:rPr>
          <w:color w:val="231F20"/>
        </w:rPr>
        <w:t>title</w:t>
      </w:r>
      <w:r>
        <w:rPr>
          <w:color w:val="231F20"/>
          <w:spacing w:val="-12"/>
        </w:rPr>
        <w:t> </w:t>
      </w:r>
      <w:r>
        <w:rPr>
          <w:color w:val="231F20"/>
        </w:rPr>
        <w:t>insurer</w:t>
      </w:r>
      <w:r>
        <w:rPr>
          <w:color w:val="231F20"/>
          <w:spacing w:val="-12"/>
        </w:rPr>
        <w:t> </w:t>
      </w:r>
      <w:r>
        <w:rPr>
          <w:color w:val="231F20"/>
        </w:rPr>
        <w:t>to</w:t>
      </w:r>
      <w:r>
        <w:rPr>
          <w:color w:val="231F20"/>
          <w:spacing w:val="-12"/>
        </w:rPr>
        <w:t> </w:t>
      </w:r>
      <w:r>
        <w:rPr>
          <w:color w:val="231F20"/>
        </w:rPr>
        <w:t>issue</w:t>
      </w:r>
      <w:r>
        <w:rPr>
          <w:color w:val="231F20"/>
          <w:spacing w:val="-12"/>
        </w:rPr>
        <w:t> </w:t>
      </w:r>
      <w:r>
        <w:rPr>
          <w:color w:val="231F20"/>
        </w:rPr>
        <w:t>a</w:t>
      </w:r>
      <w:r>
        <w:rPr>
          <w:color w:val="231F20"/>
          <w:spacing w:val="-12"/>
        </w:rPr>
        <w:t> </w:t>
      </w:r>
      <w:r>
        <w:rPr>
          <w:color w:val="231F20"/>
        </w:rPr>
        <w:t>policy</w:t>
      </w:r>
      <w:r>
        <w:rPr>
          <w:color w:val="231F20"/>
          <w:spacing w:val="-12"/>
        </w:rPr>
        <w:t> </w:t>
      </w:r>
      <w:r>
        <w:rPr>
          <w:color w:val="231F20"/>
        </w:rPr>
        <w:t>of</w:t>
      </w:r>
      <w:r>
        <w:rPr>
          <w:color w:val="231F20"/>
          <w:spacing w:val="-12"/>
        </w:rPr>
        <w:t> </w:t>
      </w:r>
      <w:r>
        <w:rPr>
          <w:color w:val="231F20"/>
        </w:rPr>
        <w:t>title</w:t>
      </w:r>
      <w:r>
        <w:rPr>
          <w:color w:val="231F20"/>
          <w:spacing w:val="-12"/>
        </w:rPr>
        <w:t> </w:t>
      </w:r>
      <w:r>
        <w:rPr>
          <w:color w:val="231F20"/>
        </w:rPr>
        <w:t>insurance</w:t>
      </w:r>
      <w:r>
        <w:rPr>
          <w:color w:val="231F20"/>
          <w:spacing w:val="-12"/>
        </w:rPr>
        <w:t> </w:t>
      </w:r>
      <w:r>
        <w:rPr>
          <w:color w:val="231F20"/>
        </w:rPr>
        <w:t>on the</w:t>
      </w:r>
      <w:r>
        <w:rPr>
          <w:color w:val="231F20"/>
          <w:spacing w:val="-13"/>
        </w:rPr>
        <w:t> </w:t>
      </w:r>
      <w:r>
        <w:rPr>
          <w:color w:val="231F20"/>
        </w:rPr>
        <w:t>terms</w:t>
      </w:r>
      <w:r>
        <w:rPr>
          <w:color w:val="231F20"/>
          <w:spacing w:val="-13"/>
        </w:rPr>
        <w:t> </w:t>
      </w:r>
      <w:r>
        <w:rPr>
          <w:color w:val="231F20"/>
        </w:rPr>
        <w:t>and</w:t>
      </w:r>
      <w:r>
        <w:rPr>
          <w:color w:val="231F20"/>
          <w:spacing w:val="-13"/>
        </w:rPr>
        <w:t> </w:t>
      </w:r>
      <w:r>
        <w:rPr>
          <w:color w:val="231F20"/>
        </w:rPr>
        <w:t>conditions</w:t>
      </w:r>
      <w:r>
        <w:rPr>
          <w:color w:val="231F20"/>
          <w:spacing w:val="-13"/>
        </w:rPr>
        <w:t> </w:t>
      </w:r>
      <w:r>
        <w:rPr>
          <w:color w:val="231F20"/>
        </w:rPr>
        <w:t>set</w:t>
      </w:r>
      <w:r>
        <w:rPr>
          <w:color w:val="231F20"/>
          <w:spacing w:val="-13"/>
        </w:rPr>
        <w:t> </w:t>
      </w:r>
      <w:r>
        <w:rPr>
          <w:color w:val="231F20"/>
        </w:rPr>
        <w:t>out</w:t>
      </w:r>
      <w:r>
        <w:rPr>
          <w:color w:val="231F20"/>
          <w:spacing w:val="-13"/>
        </w:rPr>
        <w:t> </w:t>
      </w:r>
      <w:r>
        <w:rPr>
          <w:color w:val="231F20"/>
        </w:rPr>
        <w:t>in</w:t>
      </w:r>
      <w:r>
        <w:rPr>
          <w:color w:val="231F20"/>
          <w:spacing w:val="-13"/>
        </w:rPr>
        <w:t> </w:t>
      </w:r>
      <w:r>
        <w:rPr>
          <w:color w:val="231F20"/>
        </w:rPr>
        <w:t>the</w:t>
      </w:r>
      <w:r>
        <w:rPr>
          <w:color w:val="231F20"/>
          <w:spacing w:val="-13"/>
        </w:rPr>
        <w:t> </w:t>
      </w:r>
      <w:r>
        <w:rPr>
          <w:color w:val="231F20"/>
        </w:rPr>
        <w:t>report.</w:t>
      </w:r>
      <w:r>
        <w:rPr>
          <w:color w:val="231F20"/>
          <w:spacing w:val="-17"/>
        </w:rPr>
        <w:t> </w:t>
      </w:r>
      <w:r>
        <w:rPr>
          <w:color w:val="231F20"/>
        </w:rPr>
        <w:t>The buyer, their agent and escrow use the prelim for an</w:t>
      </w:r>
      <w:r>
        <w:rPr>
          <w:color w:val="231F20"/>
          <w:spacing w:val="-9"/>
        </w:rPr>
        <w:t> </w:t>
      </w:r>
      <w:r>
        <w:rPr>
          <w:color w:val="231F20"/>
        </w:rPr>
        <w:t>initial</w:t>
      </w:r>
      <w:r>
        <w:rPr>
          <w:color w:val="231F20"/>
          <w:spacing w:val="-9"/>
        </w:rPr>
        <w:t> </w:t>
      </w:r>
      <w:r>
        <w:rPr>
          <w:color w:val="231F20"/>
        </w:rPr>
        <w:t>review</w:t>
      </w:r>
      <w:r>
        <w:rPr>
          <w:color w:val="231F20"/>
          <w:spacing w:val="-9"/>
        </w:rPr>
        <w:t> </w:t>
      </w:r>
      <w:r>
        <w:rPr>
          <w:color w:val="231F20"/>
        </w:rPr>
        <w:t>of</w:t>
      </w:r>
      <w:r>
        <w:rPr>
          <w:color w:val="231F20"/>
          <w:spacing w:val="-9"/>
        </w:rPr>
        <w:t> </w:t>
      </w:r>
      <w:r>
        <w:rPr>
          <w:color w:val="231F20"/>
        </w:rPr>
        <w:t>the</w:t>
      </w:r>
      <w:r>
        <w:rPr>
          <w:color w:val="231F20"/>
          <w:spacing w:val="-9"/>
        </w:rPr>
        <w:t> </w:t>
      </w:r>
      <w:r>
        <w:rPr>
          <w:color w:val="231F20"/>
        </w:rPr>
        <w:t>vesting</w:t>
      </w:r>
      <w:r>
        <w:rPr>
          <w:color w:val="231F20"/>
          <w:spacing w:val="-9"/>
        </w:rPr>
        <w:t> </w:t>
      </w:r>
      <w:r>
        <w:rPr>
          <w:color w:val="231F20"/>
        </w:rPr>
        <w:t>and</w:t>
      </w:r>
      <w:r>
        <w:rPr>
          <w:color w:val="231F20"/>
          <w:spacing w:val="-9"/>
        </w:rPr>
        <w:t> </w:t>
      </w:r>
      <w:r>
        <w:rPr>
          <w:color w:val="231F20"/>
        </w:rPr>
        <w:t>encumbrances recorded on title to a property.</w:t>
      </w:r>
    </w:p>
    <w:p>
      <w:pPr>
        <w:pStyle w:val="BodyText"/>
        <w:spacing w:before="200"/>
        <w:ind w:left="459"/>
        <w:jc w:val="both"/>
      </w:pPr>
      <w:r>
        <w:rPr>
          <w:color w:val="231F20"/>
        </w:rPr>
        <w:t>The</w:t>
      </w:r>
      <w:r>
        <w:rPr>
          <w:color w:val="231F20"/>
          <w:spacing w:val="-7"/>
        </w:rPr>
        <w:t> </w:t>
      </w:r>
      <w:r>
        <w:rPr>
          <w:color w:val="231F20"/>
        </w:rPr>
        <w:t>intent</w:t>
      </w:r>
      <w:r>
        <w:rPr>
          <w:color w:val="231F20"/>
          <w:spacing w:val="-7"/>
        </w:rPr>
        <w:t> </w:t>
      </w:r>
      <w:r>
        <w:rPr>
          <w:color w:val="231F20"/>
        </w:rPr>
        <w:t>of</w:t>
      </w:r>
      <w:r>
        <w:rPr>
          <w:color w:val="231F20"/>
          <w:spacing w:val="-7"/>
        </w:rPr>
        <w:t> </w:t>
      </w:r>
      <w:r>
        <w:rPr>
          <w:color w:val="231F20"/>
        </w:rPr>
        <w:t>obtaining</w:t>
      </w:r>
      <w:r>
        <w:rPr>
          <w:color w:val="231F20"/>
          <w:spacing w:val="-7"/>
        </w:rPr>
        <w:t> </w:t>
      </w:r>
      <w:r>
        <w:rPr>
          <w:color w:val="231F20"/>
        </w:rPr>
        <w:t>a</w:t>
      </w:r>
      <w:r>
        <w:rPr>
          <w:color w:val="231F20"/>
          <w:spacing w:val="-7"/>
        </w:rPr>
        <w:t> </w:t>
      </w:r>
      <w:r>
        <w:rPr>
          <w:color w:val="231F20"/>
        </w:rPr>
        <w:t>prelim</w:t>
      </w:r>
      <w:r>
        <w:rPr>
          <w:color w:val="231F20"/>
          <w:spacing w:val="-7"/>
        </w:rPr>
        <w:t> </w:t>
      </w:r>
      <w:r>
        <w:rPr>
          <w:color w:val="231F20"/>
        </w:rPr>
        <w:t>is</w:t>
      </w:r>
      <w:r>
        <w:rPr>
          <w:color w:val="231F20"/>
          <w:spacing w:val="-7"/>
        </w:rPr>
        <w:t> </w:t>
      </w:r>
      <w:r>
        <w:rPr>
          <w:color w:val="231F20"/>
        </w:rPr>
        <w:t>to</w:t>
      </w:r>
      <w:r>
        <w:rPr>
          <w:color w:val="231F20"/>
          <w:spacing w:val="-7"/>
        </w:rPr>
        <w:t> </w:t>
      </w:r>
      <w:r>
        <w:rPr>
          <w:color w:val="231F20"/>
        </w:rPr>
        <w:t>ascertain</w:t>
      </w:r>
      <w:r>
        <w:rPr>
          <w:color w:val="231F20"/>
          <w:spacing w:val="-7"/>
        </w:rPr>
        <w:t> </w:t>
      </w:r>
      <w:r>
        <w:rPr>
          <w:color w:val="231F20"/>
        </w:rPr>
        <w:t>the current vesting and encumbrances as reflected on public record which affect a property’s title.</w:t>
      </w:r>
    </w:p>
    <w:p>
      <w:pPr>
        <w:pStyle w:val="BodyText"/>
        <w:spacing w:before="200"/>
        <w:ind w:left="459"/>
      </w:pPr>
      <w:r>
        <w:rPr>
          <w:color w:val="231F20"/>
        </w:rPr>
        <w:t>Encumbrances</w:t>
      </w:r>
      <w:r>
        <w:rPr>
          <w:color w:val="231F20"/>
          <w:spacing w:val="-1"/>
        </w:rPr>
        <w:t> </w:t>
      </w:r>
      <w:r>
        <w:rPr>
          <w:color w:val="231F20"/>
        </w:rPr>
        <w:t>set out in a prelim </w:t>
      </w:r>
      <w:r>
        <w:rPr>
          <w:color w:val="231F20"/>
          <w:spacing w:val="-2"/>
        </w:rPr>
        <w:t>include:</w:t>
      </w:r>
    </w:p>
    <w:p>
      <w:pPr>
        <w:pStyle w:val="ListParagraph"/>
        <w:numPr>
          <w:ilvl w:val="0"/>
          <w:numId w:val="1"/>
        </w:numPr>
        <w:tabs>
          <w:tab w:pos="998" w:val="left" w:leader="none"/>
        </w:tabs>
        <w:spacing w:line="240" w:lineRule="auto" w:before="90" w:after="0"/>
        <w:ind w:left="998" w:right="0" w:hanging="269"/>
        <w:jc w:val="left"/>
        <w:rPr>
          <w:sz w:val="24"/>
        </w:rPr>
      </w:pPr>
      <w:r>
        <w:rPr>
          <w:color w:val="231F20"/>
          <w:sz w:val="24"/>
        </w:rPr>
        <w:t>general</w:t>
      </w:r>
      <w:r>
        <w:rPr>
          <w:color w:val="231F20"/>
          <w:spacing w:val="-5"/>
          <w:sz w:val="24"/>
        </w:rPr>
        <w:t> </w:t>
      </w:r>
      <w:r>
        <w:rPr>
          <w:color w:val="231F20"/>
          <w:sz w:val="24"/>
        </w:rPr>
        <w:t>and</w:t>
      </w:r>
      <w:r>
        <w:rPr>
          <w:color w:val="231F20"/>
          <w:spacing w:val="-5"/>
          <w:sz w:val="24"/>
        </w:rPr>
        <w:t> </w:t>
      </w:r>
      <w:r>
        <w:rPr>
          <w:color w:val="231F20"/>
          <w:sz w:val="24"/>
        </w:rPr>
        <w:t>special</w:t>
      </w:r>
      <w:r>
        <w:rPr>
          <w:color w:val="231F20"/>
          <w:spacing w:val="-4"/>
          <w:sz w:val="24"/>
        </w:rPr>
        <w:t> </w:t>
      </w:r>
      <w:r>
        <w:rPr>
          <w:color w:val="231F20"/>
          <w:spacing w:val="-2"/>
          <w:sz w:val="24"/>
        </w:rPr>
        <w:t>taxes;</w:t>
      </w:r>
    </w:p>
    <w:p>
      <w:pPr>
        <w:pStyle w:val="ListParagraph"/>
        <w:numPr>
          <w:ilvl w:val="0"/>
          <w:numId w:val="1"/>
        </w:numPr>
        <w:tabs>
          <w:tab w:pos="998" w:val="left" w:leader="none"/>
        </w:tabs>
        <w:spacing w:line="240" w:lineRule="auto" w:before="0" w:after="0"/>
        <w:ind w:left="998" w:right="0" w:hanging="269"/>
        <w:jc w:val="left"/>
        <w:rPr>
          <w:sz w:val="24"/>
        </w:rPr>
      </w:pPr>
      <w:r>
        <w:rPr>
          <w:color w:val="231F20"/>
          <w:sz w:val="24"/>
        </w:rPr>
        <w:t>assessments</w:t>
      </w:r>
      <w:r>
        <w:rPr>
          <w:color w:val="231F20"/>
          <w:spacing w:val="-1"/>
          <w:sz w:val="24"/>
        </w:rPr>
        <w:t> </w:t>
      </w:r>
      <w:r>
        <w:rPr>
          <w:color w:val="231F20"/>
          <w:sz w:val="24"/>
        </w:rPr>
        <w:t>and</w:t>
      </w:r>
      <w:r>
        <w:rPr>
          <w:color w:val="231F20"/>
          <w:spacing w:val="-1"/>
          <w:sz w:val="24"/>
        </w:rPr>
        <w:t> </w:t>
      </w:r>
      <w:r>
        <w:rPr>
          <w:color w:val="231F20"/>
          <w:spacing w:val="-2"/>
          <w:sz w:val="24"/>
        </w:rPr>
        <w:t>bonds;</w:t>
      </w:r>
    </w:p>
    <w:p>
      <w:pPr>
        <w:pStyle w:val="ListParagraph"/>
        <w:numPr>
          <w:ilvl w:val="0"/>
          <w:numId w:val="1"/>
        </w:numPr>
        <w:tabs>
          <w:tab w:pos="999" w:val="left" w:leader="none"/>
          <w:tab w:pos="2453" w:val="left" w:leader="none"/>
          <w:tab w:pos="3826" w:val="left" w:leader="none"/>
          <w:tab w:pos="4519" w:val="left" w:leader="none"/>
        </w:tabs>
        <w:spacing w:line="240" w:lineRule="auto" w:before="0" w:after="0"/>
        <w:ind w:left="999" w:right="0" w:hanging="270"/>
        <w:jc w:val="left"/>
        <w:rPr>
          <w:sz w:val="24"/>
        </w:rPr>
      </w:pPr>
      <w:r>
        <w:rPr>
          <w:color w:val="231F20"/>
          <w:spacing w:val="-2"/>
          <w:sz w:val="24"/>
        </w:rPr>
        <w:t>covenants,</w:t>
      </w:r>
      <w:r>
        <w:rPr>
          <w:color w:val="231F20"/>
          <w:sz w:val="24"/>
        </w:rPr>
        <w:tab/>
      </w:r>
      <w:r>
        <w:rPr>
          <w:color w:val="231F20"/>
          <w:spacing w:val="-2"/>
          <w:sz w:val="24"/>
        </w:rPr>
        <w:t>conditions</w:t>
      </w:r>
      <w:r>
        <w:rPr>
          <w:color w:val="231F20"/>
          <w:sz w:val="24"/>
        </w:rPr>
        <w:tab/>
      </w:r>
      <w:r>
        <w:rPr>
          <w:color w:val="231F20"/>
          <w:spacing w:val="-4"/>
          <w:sz w:val="24"/>
        </w:rPr>
        <w:t>and</w:t>
      </w:r>
      <w:r>
        <w:rPr>
          <w:color w:val="231F20"/>
          <w:sz w:val="24"/>
        </w:rPr>
        <w:tab/>
      </w:r>
      <w:r>
        <w:rPr>
          <w:color w:val="231F20"/>
          <w:spacing w:val="-2"/>
          <w:sz w:val="24"/>
        </w:rPr>
        <w:t>restrictions (CC&amp;Rs);</w:t>
      </w:r>
    </w:p>
    <w:p>
      <w:pPr>
        <w:pStyle w:val="ListParagraph"/>
        <w:numPr>
          <w:ilvl w:val="0"/>
          <w:numId w:val="1"/>
        </w:numPr>
        <w:tabs>
          <w:tab w:pos="998" w:val="left" w:leader="none"/>
        </w:tabs>
        <w:spacing w:line="240" w:lineRule="auto" w:before="0" w:after="0"/>
        <w:ind w:left="998" w:right="0" w:hanging="269"/>
        <w:jc w:val="left"/>
        <w:rPr>
          <w:sz w:val="24"/>
        </w:rPr>
      </w:pPr>
      <w:r>
        <w:rPr>
          <w:color w:val="231F20"/>
          <w:spacing w:val="-2"/>
          <w:sz w:val="24"/>
        </w:rPr>
        <w:t>easements;</w:t>
      </w:r>
    </w:p>
    <w:p>
      <w:pPr>
        <w:pStyle w:val="ListParagraph"/>
        <w:numPr>
          <w:ilvl w:val="0"/>
          <w:numId w:val="1"/>
        </w:numPr>
        <w:tabs>
          <w:tab w:pos="998" w:val="left" w:leader="none"/>
        </w:tabs>
        <w:spacing w:line="240" w:lineRule="auto" w:before="0" w:after="0"/>
        <w:ind w:left="998" w:right="0" w:hanging="269"/>
        <w:jc w:val="left"/>
        <w:rPr>
          <w:sz w:val="24"/>
        </w:rPr>
      </w:pPr>
      <w:r>
        <w:rPr>
          <w:color w:val="231F20"/>
          <w:sz w:val="24"/>
        </w:rPr>
        <w:t>rights of </w:t>
      </w:r>
      <w:r>
        <w:rPr>
          <w:color w:val="231F20"/>
          <w:spacing w:val="-4"/>
          <w:sz w:val="24"/>
        </w:rPr>
        <w:t>way;</w:t>
      </w:r>
    </w:p>
    <w:p>
      <w:pPr>
        <w:pStyle w:val="ListParagraph"/>
        <w:numPr>
          <w:ilvl w:val="0"/>
          <w:numId w:val="1"/>
        </w:numPr>
        <w:tabs>
          <w:tab w:pos="998" w:val="left" w:leader="none"/>
        </w:tabs>
        <w:spacing w:line="240" w:lineRule="auto" w:before="0" w:after="0"/>
        <w:ind w:left="998" w:right="0" w:hanging="269"/>
        <w:jc w:val="left"/>
        <w:rPr>
          <w:sz w:val="24"/>
        </w:rPr>
      </w:pPr>
      <w:r>
        <w:rPr>
          <w:color w:val="231F20"/>
          <w:sz w:val="24"/>
        </w:rPr>
        <w:t>liens; </w:t>
      </w:r>
      <w:r>
        <w:rPr>
          <w:color w:val="231F20"/>
          <w:spacing w:val="-5"/>
          <w:sz w:val="24"/>
        </w:rPr>
        <w:t>and</w:t>
      </w:r>
    </w:p>
    <w:p>
      <w:pPr>
        <w:pStyle w:val="ListParagraph"/>
        <w:numPr>
          <w:ilvl w:val="0"/>
          <w:numId w:val="1"/>
        </w:numPr>
        <w:tabs>
          <w:tab w:pos="998" w:val="left" w:leader="none"/>
        </w:tabs>
        <w:spacing w:line="240" w:lineRule="auto" w:before="0" w:after="0"/>
        <w:ind w:left="998" w:right="0" w:hanging="269"/>
        <w:jc w:val="left"/>
        <w:rPr>
          <w:sz w:val="24"/>
        </w:rPr>
      </w:pPr>
      <w:r>
        <w:rPr>
          <w:color w:val="231F20"/>
          <w:sz w:val="24"/>
        </w:rPr>
        <w:t>interests of </w:t>
      </w:r>
      <w:r>
        <w:rPr>
          <w:color w:val="231F20"/>
          <w:spacing w:val="-2"/>
          <w:sz w:val="24"/>
        </w:rPr>
        <w:t>others.</w:t>
      </w:r>
    </w:p>
    <w:p>
      <w:pPr>
        <w:pStyle w:val="BodyText"/>
        <w:spacing w:before="93"/>
        <w:ind w:left="319" w:right="457"/>
        <w:jc w:val="both"/>
      </w:pPr>
      <w:r>
        <w:rPr/>
        <w:br w:type="column"/>
      </w:r>
      <w:r>
        <w:rPr>
          <w:color w:val="231F20"/>
        </w:rPr>
        <w:t>However, a prelim is not a representation of the </w:t>
      </w:r>
      <w:r>
        <w:rPr>
          <w:b/>
          <w:color w:val="231F20"/>
        </w:rPr>
        <w:t>conditions</w:t>
      </w:r>
      <w:r>
        <w:rPr>
          <w:b/>
          <w:color w:val="231F20"/>
          <w:spacing w:val="-2"/>
        </w:rPr>
        <w:t> </w:t>
      </w:r>
      <w:r>
        <w:rPr>
          <w:b/>
          <w:color w:val="231F20"/>
        </w:rPr>
        <w:t>of</w:t>
      </w:r>
      <w:r>
        <w:rPr>
          <w:b/>
          <w:color w:val="231F20"/>
          <w:spacing w:val="-1"/>
        </w:rPr>
        <w:t> </w:t>
      </w:r>
      <w:r>
        <w:rPr>
          <w:b/>
          <w:color w:val="231F20"/>
        </w:rPr>
        <w:t>title</w:t>
      </w:r>
      <w:r>
        <w:rPr>
          <w:b/>
          <w:color w:val="231F20"/>
          <w:spacing w:val="-1"/>
        </w:rPr>
        <w:t> </w:t>
      </w:r>
      <w:r>
        <w:rPr>
          <w:color w:val="231F20"/>
        </w:rPr>
        <w:t>or</w:t>
      </w:r>
      <w:r>
        <w:rPr>
          <w:color w:val="231F20"/>
          <w:spacing w:val="-1"/>
        </w:rPr>
        <w:t> </w:t>
      </w:r>
      <w:r>
        <w:rPr>
          <w:color w:val="231F20"/>
        </w:rPr>
        <w:t>a</w:t>
      </w:r>
      <w:r>
        <w:rPr>
          <w:color w:val="231F20"/>
          <w:spacing w:val="-1"/>
        </w:rPr>
        <w:t> </w:t>
      </w:r>
      <w:r>
        <w:rPr>
          <w:color w:val="231F20"/>
        </w:rPr>
        <w:t>policy</w:t>
      </w:r>
      <w:r>
        <w:rPr>
          <w:color w:val="231F20"/>
          <w:spacing w:val="-1"/>
        </w:rPr>
        <w:t> </w:t>
      </w:r>
      <w:r>
        <w:rPr>
          <w:color w:val="231F20"/>
        </w:rPr>
        <w:t>of</w:t>
      </w:r>
      <w:r>
        <w:rPr>
          <w:color w:val="231F20"/>
          <w:spacing w:val="-1"/>
        </w:rPr>
        <w:t> </w:t>
      </w:r>
      <w:r>
        <w:rPr>
          <w:b/>
          <w:color w:val="231F20"/>
        </w:rPr>
        <w:t>title</w:t>
      </w:r>
      <w:r>
        <w:rPr>
          <w:b/>
          <w:color w:val="231F20"/>
          <w:spacing w:val="-1"/>
        </w:rPr>
        <w:t> </w:t>
      </w:r>
      <w:r>
        <w:rPr>
          <w:b/>
          <w:color w:val="231F20"/>
        </w:rPr>
        <w:t>insurance</w:t>
      </w:r>
      <w:r>
        <w:rPr>
          <w:color w:val="231F20"/>
        </w:rPr>
        <w:t>. Unlike an abstract of title, a prelim cannot be relied on and the title company incurs no liability when</w:t>
      </w:r>
      <w:r>
        <w:rPr>
          <w:color w:val="231F20"/>
          <w:spacing w:val="-11"/>
        </w:rPr>
        <w:t> </w:t>
      </w:r>
      <w:r>
        <w:rPr>
          <w:color w:val="231F20"/>
        </w:rPr>
        <w:t>the</w:t>
      </w:r>
      <w:r>
        <w:rPr>
          <w:color w:val="231F20"/>
          <w:spacing w:val="-11"/>
        </w:rPr>
        <w:t> </w:t>
      </w:r>
      <w:r>
        <w:rPr>
          <w:color w:val="231F20"/>
        </w:rPr>
        <w:t>content</w:t>
      </w:r>
      <w:r>
        <w:rPr>
          <w:color w:val="231F20"/>
          <w:spacing w:val="-11"/>
        </w:rPr>
        <w:t> </w:t>
      </w:r>
      <w:r>
        <w:rPr>
          <w:color w:val="231F20"/>
        </w:rPr>
        <w:t>incorrectly</w:t>
      </w:r>
      <w:r>
        <w:rPr>
          <w:color w:val="231F20"/>
          <w:spacing w:val="-11"/>
        </w:rPr>
        <w:t> </w:t>
      </w:r>
      <w:r>
        <w:rPr>
          <w:color w:val="231F20"/>
        </w:rPr>
        <w:t>states</w:t>
      </w:r>
      <w:r>
        <w:rPr>
          <w:color w:val="231F20"/>
          <w:spacing w:val="-11"/>
        </w:rPr>
        <w:t> </w:t>
      </w:r>
      <w:r>
        <w:rPr>
          <w:color w:val="231F20"/>
        </w:rPr>
        <w:t>the</w:t>
      </w:r>
      <w:r>
        <w:rPr>
          <w:color w:val="231F20"/>
          <w:spacing w:val="-11"/>
        </w:rPr>
        <w:t> </w:t>
      </w:r>
      <w:r>
        <w:rPr>
          <w:color w:val="231F20"/>
        </w:rPr>
        <w:t>conditions of a property’s title.</w:t>
      </w:r>
    </w:p>
    <w:p>
      <w:pPr>
        <w:pStyle w:val="BodyText"/>
        <w:spacing w:before="200"/>
        <w:ind w:left="319" w:right="457"/>
        <w:jc w:val="both"/>
      </w:pPr>
      <w:r>
        <w:rPr>
          <w:color w:val="231F20"/>
        </w:rPr>
        <w:t>Thus,</w:t>
      </w:r>
      <w:r>
        <w:rPr>
          <w:color w:val="231F20"/>
          <w:spacing w:val="-10"/>
        </w:rPr>
        <w:t> </w:t>
      </w:r>
      <w:r>
        <w:rPr>
          <w:color w:val="231F20"/>
        </w:rPr>
        <w:t>a</w:t>
      </w:r>
      <w:r>
        <w:rPr>
          <w:color w:val="231F20"/>
          <w:spacing w:val="-10"/>
        </w:rPr>
        <w:t> </w:t>
      </w:r>
      <w:r>
        <w:rPr>
          <w:color w:val="231F20"/>
        </w:rPr>
        <w:t>prelim</w:t>
      </w:r>
      <w:r>
        <w:rPr>
          <w:color w:val="231F20"/>
          <w:spacing w:val="-10"/>
        </w:rPr>
        <w:t> </w:t>
      </w:r>
      <w:r>
        <w:rPr>
          <w:color w:val="231F20"/>
        </w:rPr>
        <w:t>is</w:t>
      </w:r>
      <w:r>
        <w:rPr>
          <w:color w:val="231F20"/>
          <w:spacing w:val="-10"/>
        </w:rPr>
        <w:t> </w:t>
      </w:r>
      <w:r>
        <w:rPr>
          <w:color w:val="231F20"/>
        </w:rPr>
        <w:t>merely</w:t>
      </w:r>
      <w:r>
        <w:rPr>
          <w:color w:val="231F20"/>
          <w:spacing w:val="-10"/>
        </w:rPr>
        <w:t> </w:t>
      </w:r>
      <w:r>
        <w:rPr>
          <w:color w:val="231F20"/>
        </w:rPr>
        <w:t>a</w:t>
      </w:r>
      <w:r>
        <w:rPr>
          <w:color w:val="231F20"/>
          <w:spacing w:val="-10"/>
        </w:rPr>
        <w:t> </w:t>
      </w:r>
      <w:r>
        <w:rPr>
          <w:color w:val="231F20"/>
        </w:rPr>
        <w:t>statement</w:t>
      </w:r>
      <w:r>
        <w:rPr>
          <w:color w:val="231F20"/>
          <w:spacing w:val="-10"/>
        </w:rPr>
        <w:t> </w:t>
      </w:r>
      <w:r>
        <w:rPr>
          <w:color w:val="231F20"/>
        </w:rPr>
        <w:t>of</w:t>
      </w:r>
      <w:r>
        <w:rPr>
          <w:color w:val="231F20"/>
          <w:spacing w:val="-10"/>
        </w:rPr>
        <w:t> </w:t>
      </w:r>
      <w:r>
        <w:rPr>
          <w:color w:val="231F20"/>
        </w:rPr>
        <w:t>terms</w:t>
      </w:r>
      <w:r>
        <w:rPr>
          <w:color w:val="231F20"/>
          <w:spacing w:val="-10"/>
        </w:rPr>
        <w:t> </w:t>
      </w:r>
      <w:r>
        <w:rPr>
          <w:color w:val="231F20"/>
        </w:rPr>
        <w:t>and conditions on which the title company is willing</w:t>
      </w:r>
      <w:r>
        <w:rPr>
          <w:color w:val="231F20"/>
          <w:spacing w:val="80"/>
        </w:rPr>
        <w:t> </w:t>
      </w:r>
      <w:r>
        <w:rPr>
          <w:color w:val="231F20"/>
        </w:rPr>
        <w:t>to issue a policy — subject to any changes they may make prior to actually issuing the policy of title insurance.</w:t>
      </w:r>
    </w:p>
    <w:p>
      <w:pPr>
        <w:pStyle w:val="BodyText"/>
        <w:spacing w:before="200"/>
        <w:ind w:left="319" w:right="457"/>
        <w:jc w:val="both"/>
      </w:pPr>
      <w:r>
        <w:rPr>
          <w:color w:val="231F20"/>
        </w:rPr>
        <w:t>Both the buyer’s agent and seller’s agent review the prelim immediately on its receipt by escrow, looking for any reported conditions that may interfere with the buyer’s expectations or closing the transaction.</w:t>
      </w:r>
    </w:p>
    <w:p>
      <w:pPr>
        <w:spacing w:after="0"/>
        <w:jc w:val="both"/>
        <w:sectPr>
          <w:type w:val="continuous"/>
          <w:pgSz w:w="12240" w:h="15840"/>
          <w:pgMar w:top="380" w:bottom="0" w:left="260" w:right="260"/>
          <w:cols w:num="2" w:equalWidth="0">
            <w:col w:w="5681" w:space="40"/>
            <w:col w:w="5999"/>
          </w:cols>
        </w:sectPr>
      </w:pPr>
    </w:p>
    <w:p>
      <w:pPr>
        <w:pStyle w:val="BodyText"/>
        <w:rPr>
          <w:sz w:val="20"/>
        </w:rPr>
      </w:pPr>
    </w:p>
    <w:p>
      <w:pPr>
        <w:pStyle w:val="BodyText"/>
        <w:rPr>
          <w:sz w:val="20"/>
        </w:rPr>
      </w:pPr>
    </w:p>
    <w:p>
      <w:pPr>
        <w:pStyle w:val="BodyText"/>
        <w:rPr>
          <w:sz w:val="20"/>
        </w:rPr>
      </w:pPr>
    </w:p>
    <w:p>
      <w:pPr>
        <w:pStyle w:val="BodyText"/>
        <w:spacing w:before="131"/>
        <w:rPr>
          <w:sz w:val="20"/>
        </w:rPr>
      </w:pPr>
    </w:p>
    <w:p>
      <w:pPr>
        <w:spacing w:line="249" w:lineRule="auto" w:before="0"/>
        <w:ind w:left="1136" w:right="8703" w:firstLine="0"/>
        <w:jc w:val="left"/>
        <w:rPr>
          <w:b/>
          <w:sz w:val="20"/>
        </w:rPr>
      </w:pPr>
      <w:r>
        <w:rPr>
          <w:b/>
          <w:sz w:val="20"/>
        </w:rPr>
        <w:t>Christy Dumlao Real</w:t>
      </w:r>
      <w:r>
        <w:rPr>
          <w:b/>
          <w:spacing w:val="-14"/>
          <w:sz w:val="20"/>
        </w:rPr>
        <w:t> </w:t>
      </w:r>
      <w:r>
        <w:rPr>
          <w:b/>
          <w:sz w:val="20"/>
        </w:rPr>
        <w:t>Estate</w:t>
      </w:r>
      <w:r>
        <w:rPr>
          <w:b/>
          <w:spacing w:val="-14"/>
          <w:sz w:val="20"/>
        </w:rPr>
        <w:t> </w:t>
      </w:r>
      <w:r>
        <w:rPr>
          <w:b/>
          <w:sz w:val="20"/>
        </w:rPr>
        <w:t>Broker</w:t>
      </w:r>
    </w:p>
    <w:p>
      <w:pPr>
        <w:spacing w:before="122"/>
        <w:ind w:left="1138" w:right="0" w:firstLine="0"/>
        <w:jc w:val="left"/>
        <w:rPr>
          <w:sz w:val="20"/>
        </w:rPr>
      </w:pPr>
      <w:r>
        <w:rPr/>
        <w:drawing>
          <wp:anchor distT="0" distB="0" distL="0" distR="0" allowOverlap="1" layoutInCell="1" locked="0" behindDoc="0" simplePos="0" relativeHeight="15729664">
            <wp:simplePos x="0" y="0"/>
            <wp:positionH relativeFrom="page">
              <wp:posOffset>5689014</wp:posOffset>
            </wp:positionH>
            <wp:positionV relativeFrom="paragraph">
              <wp:posOffset>98032</wp:posOffset>
            </wp:positionV>
            <wp:extent cx="600807" cy="692902"/>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600807" cy="692902"/>
                    </a:xfrm>
                    <a:prstGeom prst="rect">
                      <a:avLst/>
                    </a:prstGeom>
                  </pic:spPr>
                </pic:pic>
              </a:graphicData>
            </a:graphic>
          </wp:anchor>
        </w:drawing>
      </w:r>
      <w:r>
        <w:rPr>
          <w:sz w:val="20"/>
        </w:rPr>
        <w:t>DRE</w:t>
      </w:r>
      <w:r>
        <w:rPr>
          <w:spacing w:val="-4"/>
          <w:sz w:val="20"/>
        </w:rPr>
        <w:t> </w:t>
      </w:r>
      <w:r>
        <w:rPr>
          <w:sz w:val="20"/>
        </w:rPr>
        <w:t>LIC#</w:t>
      </w:r>
      <w:r>
        <w:rPr>
          <w:spacing w:val="-1"/>
          <w:sz w:val="20"/>
        </w:rPr>
        <w:t> </w:t>
      </w:r>
      <w:r>
        <w:rPr>
          <w:spacing w:val="-2"/>
          <w:sz w:val="20"/>
        </w:rPr>
        <w:t>01474985</w:t>
      </w:r>
    </w:p>
    <w:p>
      <w:pPr>
        <w:spacing w:before="10"/>
        <w:ind w:left="1138" w:right="0" w:firstLine="0"/>
        <w:jc w:val="left"/>
        <w:rPr>
          <w:sz w:val="20"/>
        </w:rPr>
      </w:pPr>
      <w:r>
        <w:rPr>
          <w:spacing w:val="-2"/>
          <w:sz w:val="20"/>
        </w:rPr>
        <w:t>925-395-</w:t>
      </w:r>
      <w:r>
        <w:rPr>
          <w:spacing w:val="-4"/>
          <w:sz w:val="20"/>
        </w:rPr>
        <w:t>0175</w:t>
      </w:r>
    </w:p>
    <w:p>
      <w:pPr>
        <w:spacing w:line="249" w:lineRule="auto" w:before="10"/>
        <w:ind w:left="1138" w:right="5720" w:firstLine="0"/>
        <w:jc w:val="left"/>
        <w:rPr>
          <w:sz w:val="20"/>
        </w:rPr>
      </w:pPr>
      <w:hyperlink r:id="rId7">
        <w:r>
          <w:rPr>
            <w:spacing w:val="-2"/>
            <w:sz w:val="20"/>
          </w:rPr>
          <w:t>christy@christyscarealty.com</w:t>
        </w:r>
      </w:hyperlink>
      <w:r>
        <w:rPr>
          <w:spacing w:val="-2"/>
          <w:sz w:val="20"/>
        </w:rPr>
        <w:t> christyscaliforniarealty.com</w:t>
      </w:r>
    </w:p>
    <w:p>
      <w:pPr>
        <w:pStyle w:val="BodyText"/>
        <w:rPr>
          <w:sz w:val="20"/>
        </w:rPr>
      </w:pPr>
    </w:p>
    <w:p>
      <w:pPr>
        <w:pStyle w:val="BodyText"/>
        <w:rPr>
          <w:sz w:val="20"/>
        </w:rPr>
      </w:pPr>
    </w:p>
    <w:p>
      <w:pPr>
        <w:pStyle w:val="BodyText"/>
        <w:spacing w:before="183"/>
        <w:rPr>
          <w:sz w:val="20"/>
        </w:rPr>
      </w:pPr>
      <w:r>
        <w:rPr/>
        <mc:AlternateContent>
          <mc:Choice Requires="wps">
            <w:drawing>
              <wp:anchor distT="0" distB="0" distL="0" distR="0" allowOverlap="1" layoutInCell="1" locked="0" behindDoc="1" simplePos="0" relativeHeight="487588352">
                <wp:simplePos x="0" y="0"/>
                <wp:positionH relativeFrom="page">
                  <wp:posOffset>228600</wp:posOffset>
                </wp:positionH>
                <wp:positionV relativeFrom="paragraph">
                  <wp:posOffset>277482</wp:posOffset>
                </wp:positionV>
                <wp:extent cx="7315200" cy="22860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7315200" cy="228600"/>
                        </a:xfrm>
                        <a:custGeom>
                          <a:avLst/>
                          <a:gdLst/>
                          <a:ahLst/>
                          <a:cxnLst/>
                          <a:rect l="l" t="t" r="r" b="b"/>
                          <a:pathLst>
                            <a:path w="7315200" h="228600">
                              <a:moveTo>
                                <a:pt x="7315200" y="0"/>
                              </a:moveTo>
                              <a:lnTo>
                                <a:pt x="0" y="0"/>
                              </a:lnTo>
                              <a:lnTo>
                                <a:pt x="0" y="228600"/>
                              </a:lnTo>
                              <a:lnTo>
                                <a:pt x="7315200" y="228600"/>
                              </a:lnTo>
                              <a:lnTo>
                                <a:pt x="7315200" y="0"/>
                              </a:lnTo>
                              <a:close/>
                            </a:path>
                          </a:pathLst>
                        </a:custGeom>
                        <a:solidFill>
                          <a:srgbClr val="D2232A"/>
                        </a:solidFill>
                      </wps:spPr>
                      <wps:bodyPr wrap="square" lIns="0" tIns="0" rIns="0" bIns="0" rtlCol="0">
                        <a:prstTxWarp prst="textNoShape">
                          <a:avLst/>
                        </a:prstTxWarp>
                        <a:noAutofit/>
                      </wps:bodyPr>
                    </wps:wsp>
                  </a:graphicData>
                </a:graphic>
              </wp:anchor>
            </w:drawing>
          </mc:Choice>
          <mc:Fallback>
            <w:pict>
              <v:rect style="position:absolute;margin-left:18pt;margin-top:21.849024pt;width:576pt;height:18pt;mso-position-horizontal-relative:page;mso-position-vertical-relative:paragraph;z-index:-15728128;mso-wrap-distance-left:0;mso-wrap-distance-right:0" id="docshape5" filled="true" fillcolor="#d2232a" stroked="false">
                <v:fill type="solid"/>
                <w10:wrap type="topAndBottom"/>
              </v:rect>
            </w:pict>
          </mc:Fallback>
        </mc:AlternateContent>
      </w:r>
    </w:p>
    <w:sectPr>
      <w:type w:val="continuous"/>
      <w:pgSz w:w="12240" w:h="15840"/>
      <w:pgMar w:top="380" w:bottom="0" w:left="26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99" w:hanging="270"/>
      </w:pPr>
      <w:rPr>
        <w:rFonts w:hint="default" w:ascii="Arial" w:hAnsi="Arial" w:eastAsia="Arial" w:cs="Arial"/>
        <w:b w:val="0"/>
        <w:bCs w:val="0"/>
        <w:i w:val="0"/>
        <w:iCs w:val="0"/>
        <w:color w:val="231F20"/>
        <w:spacing w:val="0"/>
        <w:w w:val="100"/>
        <w:sz w:val="24"/>
        <w:szCs w:val="24"/>
        <w:lang w:val="en-US" w:eastAsia="en-US" w:bidi="ar-SA"/>
      </w:rPr>
    </w:lvl>
    <w:lvl w:ilvl="1">
      <w:start w:val="0"/>
      <w:numFmt w:val="bullet"/>
      <w:lvlText w:val="•"/>
      <w:lvlJc w:val="left"/>
      <w:pPr>
        <w:ind w:left="1468" w:hanging="270"/>
      </w:pPr>
      <w:rPr>
        <w:rFonts w:hint="default"/>
        <w:lang w:val="en-US" w:eastAsia="en-US" w:bidi="ar-SA"/>
      </w:rPr>
    </w:lvl>
    <w:lvl w:ilvl="2">
      <w:start w:val="0"/>
      <w:numFmt w:val="bullet"/>
      <w:lvlText w:val="•"/>
      <w:lvlJc w:val="left"/>
      <w:pPr>
        <w:ind w:left="1936" w:hanging="270"/>
      </w:pPr>
      <w:rPr>
        <w:rFonts w:hint="default"/>
        <w:lang w:val="en-US" w:eastAsia="en-US" w:bidi="ar-SA"/>
      </w:rPr>
    </w:lvl>
    <w:lvl w:ilvl="3">
      <w:start w:val="0"/>
      <w:numFmt w:val="bullet"/>
      <w:lvlText w:val="•"/>
      <w:lvlJc w:val="left"/>
      <w:pPr>
        <w:ind w:left="2404" w:hanging="270"/>
      </w:pPr>
      <w:rPr>
        <w:rFonts w:hint="default"/>
        <w:lang w:val="en-US" w:eastAsia="en-US" w:bidi="ar-SA"/>
      </w:rPr>
    </w:lvl>
    <w:lvl w:ilvl="4">
      <w:start w:val="0"/>
      <w:numFmt w:val="bullet"/>
      <w:lvlText w:val="•"/>
      <w:lvlJc w:val="left"/>
      <w:pPr>
        <w:ind w:left="2872" w:hanging="270"/>
      </w:pPr>
      <w:rPr>
        <w:rFonts w:hint="default"/>
        <w:lang w:val="en-US" w:eastAsia="en-US" w:bidi="ar-SA"/>
      </w:rPr>
    </w:lvl>
    <w:lvl w:ilvl="5">
      <w:start w:val="0"/>
      <w:numFmt w:val="bullet"/>
      <w:lvlText w:val="•"/>
      <w:lvlJc w:val="left"/>
      <w:pPr>
        <w:ind w:left="3340" w:hanging="270"/>
      </w:pPr>
      <w:rPr>
        <w:rFonts w:hint="default"/>
        <w:lang w:val="en-US" w:eastAsia="en-US" w:bidi="ar-SA"/>
      </w:rPr>
    </w:lvl>
    <w:lvl w:ilvl="6">
      <w:start w:val="0"/>
      <w:numFmt w:val="bullet"/>
      <w:lvlText w:val="•"/>
      <w:lvlJc w:val="left"/>
      <w:pPr>
        <w:ind w:left="3808" w:hanging="270"/>
      </w:pPr>
      <w:rPr>
        <w:rFonts w:hint="default"/>
        <w:lang w:val="en-US" w:eastAsia="en-US" w:bidi="ar-SA"/>
      </w:rPr>
    </w:lvl>
    <w:lvl w:ilvl="7">
      <w:start w:val="0"/>
      <w:numFmt w:val="bullet"/>
      <w:lvlText w:val="•"/>
      <w:lvlJc w:val="left"/>
      <w:pPr>
        <w:ind w:left="4276" w:hanging="270"/>
      </w:pPr>
      <w:rPr>
        <w:rFonts w:hint="default"/>
        <w:lang w:val="en-US" w:eastAsia="en-US" w:bidi="ar-SA"/>
      </w:rPr>
    </w:lvl>
    <w:lvl w:ilvl="8">
      <w:start w:val="0"/>
      <w:numFmt w:val="bullet"/>
      <w:lvlText w:val="•"/>
      <w:lvlJc w:val="left"/>
      <w:pPr>
        <w:ind w:left="4744" w:hanging="27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Title" w:type="paragraph">
    <w:name w:val="Title"/>
    <w:basedOn w:val="Normal"/>
    <w:uiPriority w:val="1"/>
    <w:qFormat/>
    <w:pPr>
      <w:spacing w:line="698" w:lineRule="exact"/>
    </w:pPr>
    <w:rPr>
      <w:rFonts w:ascii="Arial" w:hAnsi="Arial" w:eastAsia="Arial" w:cs="Arial"/>
      <w:b/>
      <w:bCs/>
      <w:sz w:val="62"/>
      <w:szCs w:val="62"/>
      <w:lang w:val="en-US" w:eastAsia="en-US" w:bidi="ar-SA"/>
    </w:rPr>
  </w:style>
  <w:style w:styleId="ListParagraph" w:type="paragraph">
    <w:name w:val="List Paragraph"/>
    <w:basedOn w:val="Normal"/>
    <w:uiPriority w:val="1"/>
    <w:qFormat/>
    <w:pPr>
      <w:ind w:left="998" w:hanging="26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christy@christyscarealty.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2024-09-09T00:40:26Z</dcterms:created>
  <dcterms:modified xsi:type="dcterms:W3CDTF">2024-09-09T00:40:26Z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Adobe LiveCycle Designer 11.0</vt:lpwstr>
  </property>
  <property fmtid="{D5CDD505-2E9C-101B-9397-08002B2CF9AE}" pid="4" name="LastSaved">
    <vt:filetime>2024-09-09T00:00:00Z</vt:filetime>
  </property>
  <property fmtid="{D5CDD505-2E9C-101B-9397-08002B2CF9AE}" pid="5" name="Producer">
    <vt:lpwstr>Adobe LiveCycle Designer 11.0</vt:lpwstr>
  </property>
</Properties>
</file>