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2814320"/>
                <wp:effectExtent l="0" t="0" r="0" b="508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2814320"/>
                          <a:chExt cx="6858000" cy="28143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6857987" cy="2813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98645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8645" h="2814320">
                                <a:moveTo>
                                  <a:pt x="4398264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0" y="1698244"/>
                                </a:lnTo>
                                <a:lnTo>
                                  <a:pt x="0" y="2813812"/>
                                </a:lnTo>
                                <a:lnTo>
                                  <a:pt x="2172614" y="2813812"/>
                                </a:lnTo>
                                <a:lnTo>
                                  <a:pt x="439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C8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281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0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2480" w:right="5656" w:firstLine="321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What’s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35"/>
                                  <w:w w:val="110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the difference</w:t>
                              </w:r>
                            </w:p>
                            <w:p>
                              <w:pPr>
                                <w:spacing w:line="249" w:lineRule="auto" w:before="4"/>
                                <w:ind w:left="1233" w:right="5656" w:firstLine="775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between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43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w w:val="115"/>
                                  <w:sz w:val="46"/>
                                </w:rPr>
                                <w:t>a recourse and</w:t>
                              </w:r>
                            </w:p>
                            <w:p>
                              <w:pPr>
                                <w:spacing w:line="249" w:lineRule="auto" w:before="4"/>
                                <w:ind w:left="746" w:right="5656" w:firstLine="55"/>
                                <w:jc w:val="left"/>
                                <w:rPr>
                                  <w:rFonts w:asci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46"/>
                                </w:rPr>
                                <w:t>nonrecourse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"/>
                                  <w:w w:val="115"/>
                                  <w:sz w:val="46"/>
                                </w:rPr>
                                <w:t>mortgage?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221.6pt;mso-position-horizontal-relative:char;mso-position-vertical-relative:line" id="docshapegroup1" coordorigin="0,0" coordsize="10800,4432">
                <v:shape style="position:absolute;left:0;top:0;width:10800;height:4432" type="#_x0000_t75" id="docshape2" stroked="false">
                  <v:imagedata r:id="rId5" o:title=""/>
                </v:shape>
                <v:shape style="position:absolute;left:0;top:0;width:6927;height:4432" id="docshape3" coordorigin="0,0" coordsize="6927,4432" path="m6926,0l2376,0,0,2674,0,4431,3421,4431,6926,0xe" filled="true" fillcolor="#0092c8" stroked="false">
                  <v:path arrowok="t"/>
                  <v:fill opacity="52428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800;height:4432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50"/>
                          <w:rPr>
                            <w:rFonts w:ascii="Times New Roman"/>
                            <w:sz w:val="46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2480" w:right="5656" w:firstLine="321"/>
                          <w:jc w:val="left"/>
                          <w:rPr>
                            <w:rFonts w:ascii="Times New Roman" w:hAns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What’s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35"/>
                            <w:w w:val="110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the difference</w:t>
                        </w:r>
                      </w:p>
                      <w:p>
                        <w:pPr>
                          <w:spacing w:line="249" w:lineRule="auto" w:before="4"/>
                          <w:ind w:left="1233" w:right="5656" w:firstLine="775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between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43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w w:val="115"/>
                            <w:sz w:val="46"/>
                          </w:rPr>
                          <w:t>a recourse and</w:t>
                        </w:r>
                      </w:p>
                      <w:p>
                        <w:pPr>
                          <w:spacing w:line="249" w:lineRule="auto" w:before="4"/>
                          <w:ind w:left="746" w:right="5656" w:firstLine="55"/>
                          <w:jc w:val="left"/>
                          <w:rPr>
                            <w:rFonts w:asci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0"/>
                            <w:sz w:val="46"/>
                          </w:rPr>
                          <w:t>nonrecourse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"/>
                            <w:w w:val="115"/>
                            <w:sz w:val="46"/>
                          </w:rPr>
                          <w:t>mortgage?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0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720" w:bottom="280" w:left="620" w:right="600"/>
        </w:sectPr>
      </w:pPr>
    </w:p>
    <w:p>
      <w:pPr>
        <w:pStyle w:val="BodyText"/>
        <w:spacing w:before="93"/>
        <w:ind w:right="38" w:firstLine="76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458216</wp:posOffset>
                </wp:positionH>
                <wp:positionV relativeFrom="paragraph">
                  <wp:posOffset>20996</wp:posOffset>
                </wp:positionV>
                <wp:extent cx="384810" cy="4070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481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4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57"/>
                              </w:rPr>
                            </w:pPr>
                            <w:r>
                              <w:rPr>
                                <w:b/>
                                <w:color w:val="0092C8"/>
                                <w:spacing w:val="-5"/>
                                <w:sz w:val="57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80002pt;margin-top:1.653276pt;width:30.3pt;height:32.0500pt;mso-position-horizontal-relative:page;mso-position-vertical-relative:paragraph;z-index:15729664" type="#_x0000_t202" id="docshape5" filled="false" stroked="false">
                <v:textbox inset="0,0,0,0">
                  <w:txbxContent>
                    <w:p>
                      <w:pPr>
                        <w:spacing w:line="640" w:lineRule="exact" w:before="0"/>
                        <w:ind w:left="0" w:right="0" w:firstLine="0"/>
                        <w:jc w:val="left"/>
                        <w:rPr>
                          <w:b/>
                          <w:sz w:val="57"/>
                        </w:rPr>
                      </w:pPr>
                      <w:r>
                        <w:rPr>
                          <w:b/>
                          <w:color w:val="0092C8"/>
                          <w:spacing w:val="-5"/>
                          <w:sz w:val="57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Mortgage lenders are limited in their ability to recover losses incurred when the value of the property</w:t>
      </w:r>
      <w:r>
        <w:rPr>
          <w:color w:val="231F20"/>
          <w:spacing w:val="-16"/>
        </w:rPr>
        <w:t> </w:t>
      </w:r>
      <w:r>
        <w:rPr>
          <w:color w:val="231F20"/>
        </w:rPr>
        <w:t>securing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mortgage</w:t>
      </w:r>
      <w:r>
        <w:rPr>
          <w:color w:val="231F20"/>
          <w:spacing w:val="-16"/>
        </w:rPr>
        <w:t> </w:t>
      </w:r>
      <w:r>
        <w:rPr>
          <w:color w:val="231F20"/>
        </w:rPr>
        <w:t>is</w:t>
      </w:r>
      <w:r>
        <w:rPr>
          <w:color w:val="231F20"/>
          <w:spacing w:val="-15"/>
        </w:rPr>
        <w:t> </w:t>
      </w:r>
      <w:r>
        <w:rPr>
          <w:color w:val="231F20"/>
        </w:rPr>
        <w:t>insufficient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satisfy the mortgage debt. On any default, the lender must</w:t>
      </w:r>
      <w:r>
        <w:rPr>
          <w:color w:val="231F20"/>
          <w:spacing w:val="40"/>
        </w:rPr>
        <w:t> </w:t>
      </w:r>
      <w:r>
        <w:rPr>
          <w:color w:val="231F20"/>
        </w:rPr>
        <w:t>first foreclose and sell the property to determine their loss</w:t>
      </w:r>
      <w:r>
        <w:rPr>
          <w:color w:val="231F20"/>
          <w:spacing w:val="30"/>
        </w:rPr>
        <w:t> </w:t>
      </w:r>
      <w:r>
        <w:rPr>
          <w:color w:val="231F20"/>
        </w:rPr>
        <w:t>on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mortgage. The</w:t>
      </w:r>
      <w:r>
        <w:rPr>
          <w:color w:val="231F20"/>
          <w:spacing w:val="30"/>
        </w:rPr>
        <w:t> </w:t>
      </w:r>
      <w:r>
        <w:rPr>
          <w:color w:val="231F20"/>
        </w:rPr>
        <w:t>lender’s</w:t>
      </w:r>
      <w:r>
        <w:rPr>
          <w:color w:val="231F20"/>
          <w:spacing w:val="30"/>
        </w:rPr>
        <w:t> </w:t>
      </w:r>
      <w:r>
        <w:rPr>
          <w:color w:val="231F20"/>
        </w:rPr>
        <w:t>ability</w:t>
      </w:r>
      <w:r>
        <w:rPr>
          <w:color w:val="231F20"/>
          <w:spacing w:val="30"/>
        </w:rPr>
        <w:t> </w:t>
      </w:r>
      <w:r>
        <w:rPr>
          <w:color w:val="231F20"/>
        </w:rPr>
        <w:t>to</w:t>
      </w:r>
      <w:r>
        <w:rPr>
          <w:color w:val="231F20"/>
          <w:spacing w:val="30"/>
        </w:rPr>
        <w:t> </w:t>
      </w:r>
      <w:r>
        <w:rPr>
          <w:color w:val="231F20"/>
        </w:rPr>
        <w:t>collect their</w:t>
      </w:r>
      <w:r>
        <w:rPr>
          <w:color w:val="231F20"/>
          <w:spacing w:val="-1"/>
        </w:rPr>
        <w:t> </w:t>
      </w:r>
      <w:r>
        <w:rPr>
          <w:color w:val="231F20"/>
        </w:rPr>
        <w:t>loss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owner</w:t>
      </w:r>
      <w:r>
        <w:rPr>
          <w:color w:val="231F20"/>
          <w:spacing w:val="2"/>
        </w:rPr>
        <w:t> </w:t>
      </w:r>
      <w:r>
        <w:rPr>
          <w:color w:val="231F20"/>
        </w:rPr>
        <w:t>depends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type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debt</w:t>
      </w:r>
    </w:p>
    <w:p>
      <w:pPr>
        <w:pStyle w:val="BodyText"/>
        <w:spacing w:before="0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mortgage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represents.</w:t>
      </w:r>
    </w:p>
    <w:p>
      <w:pPr>
        <w:pStyle w:val="BodyText"/>
        <w:ind w:right="38"/>
        <w:jc w:val="both"/>
      </w:pPr>
      <w:r>
        <w:rPr>
          <w:color w:val="231F20"/>
        </w:rPr>
        <w:t>One type of debt called a </w:t>
      </w:r>
      <w:r>
        <w:rPr>
          <w:b/>
          <w:color w:val="231F20"/>
        </w:rPr>
        <w:t>nonrecourse mortgage</w:t>
      </w:r>
      <w:r>
        <w:rPr>
          <w:color w:val="231F20"/>
        </w:rPr>
        <w:t>, </w:t>
      </w:r>
      <w:r>
        <w:rPr>
          <w:color w:val="231F20"/>
          <w:spacing w:val="-2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known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purchase-money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debt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anti-deficiency </w:t>
      </w:r>
      <w:r>
        <w:rPr>
          <w:color w:val="231F20"/>
        </w:rPr>
        <w:t>debt, includes:</w:t>
      </w:r>
    </w:p>
    <w:p>
      <w:pPr>
        <w:pStyle w:val="ListParagraph"/>
        <w:numPr>
          <w:ilvl w:val="0"/>
          <w:numId w:val="1"/>
        </w:numPr>
        <w:tabs>
          <w:tab w:pos="639" w:val="left" w:leader="none"/>
          <w:tab w:pos="641" w:val="left" w:leader="none"/>
        </w:tabs>
        <w:spacing w:line="240" w:lineRule="auto" w:before="136" w:after="0"/>
        <w:ind w:left="641" w:right="38" w:hanging="271"/>
        <w:jc w:val="both"/>
        <w:rPr>
          <w:sz w:val="22"/>
        </w:rPr>
      </w:pPr>
      <w:r>
        <w:rPr>
          <w:i/>
          <w:color w:val="231F20"/>
          <w:sz w:val="22"/>
        </w:rPr>
        <w:t>purchase-assist financing </w:t>
      </w:r>
      <w:r>
        <w:rPr>
          <w:color w:val="231F20"/>
          <w:sz w:val="22"/>
        </w:rPr>
        <w:t>by a lender on a one- to-four unit residential property to be occupied by the buyer;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37" w:after="0"/>
        <w:ind w:left="641" w:right="38" w:hanging="270"/>
        <w:jc w:val="both"/>
        <w:rPr>
          <w:sz w:val="22"/>
        </w:rPr>
      </w:pPr>
      <w:r>
        <w:rPr>
          <w:i/>
          <w:color w:val="231F20"/>
          <w:sz w:val="22"/>
        </w:rPr>
        <w:t>carryback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mortgages</w:t>
      </w:r>
      <w:r>
        <w:rPr>
          <w:i/>
          <w:color w:val="231F20"/>
          <w:spacing w:val="-1"/>
          <w:sz w:val="22"/>
        </w:rPr>
        <w:t> </w:t>
      </w:r>
      <w:r>
        <w:rPr>
          <w:color w:val="231F20"/>
          <w:sz w:val="22"/>
        </w:rPr>
        <w:t>evidencing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installment sale of any type of property; and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37" w:after="0"/>
        <w:ind w:left="641" w:right="38" w:hanging="270"/>
        <w:jc w:val="both"/>
        <w:rPr>
          <w:sz w:val="22"/>
        </w:rPr>
      </w:pPr>
      <w:r>
        <w:rPr>
          <w:i/>
          <w:color w:val="231F20"/>
          <w:sz w:val="22"/>
        </w:rPr>
        <w:t>refinanced</w:t>
      </w:r>
      <w:r>
        <w:rPr>
          <w:i/>
          <w:color w:val="231F20"/>
          <w:spacing w:val="80"/>
          <w:sz w:val="22"/>
        </w:rPr>
        <w:t> </w:t>
      </w:r>
      <w:r>
        <w:rPr>
          <w:i/>
          <w:color w:val="231F20"/>
          <w:sz w:val="22"/>
        </w:rPr>
        <w:t>purchase-money</w:t>
      </w:r>
      <w:r>
        <w:rPr>
          <w:i/>
          <w:color w:val="231F20"/>
          <w:spacing w:val="80"/>
          <w:sz w:val="22"/>
        </w:rPr>
        <w:t> </w:t>
      </w:r>
      <w:r>
        <w:rPr>
          <w:i/>
          <w:color w:val="231F20"/>
          <w:sz w:val="22"/>
        </w:rPr>
        <w:t>mortgages</w:t>
      </w:r>
      <w:r>
        <w:rPr>
          <w:color w:val="231F20"/>
          <w:sz w:val="22"/>
        </w:rPr>
        <w:t>,</w:t>
      </w:r>
      <w:r>
        <w:rPr>
          <w:color w:val="231F20"/>
          <w:spacing w:val="80"/>
          <w:sz w:val="22"/>
        </w:rPr>
        <w:t> </w:t>
      </w:r>
      <w:r>
        <w:rPr>
          <w:color w:val="231F20"/>
          <w:sz w:val="22"/>
        </w:rPr>
        <w:t>to the extent the funding is applied to pay off the replaced purchase-money mortgage.</w:t>
      </w:r>
    </w:p>
    <w:p>
      <w:pPr>
        <w:pStyle w:val="BodyText"/>
        <w:ind w:right="38"/>
        <w:jc w:val="both"/>
      </w:pPr>
      <w:r>
        <w:rPr>
          <w:color w:val="231F20"/>
        </w:rPr>
        <w:t>When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lender</w:t>
      </w:r>
      <w:r>
        <w:rPr>
          <w:color w:val="231F20"/>
          <w:spacing w:val="-11"/>
        </w:rPr>
        <w:t> </w:t>
      </w:r>
      <w:r>
        <w:rPr>
          <w:color w:val="231F20"/>
        </w:rPr>
        <w:t>forecloses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nonrecourse</w:t>
      </w:r>
      <w:r>
        <w:rPr>
          <w:color w:val="231F20"/>
          <w:spacing w:val="-11"/>
        </w:rPr>
        <w:t> </w:t>
      </w:r>
      <w:r>
        <w:rPr>
          <w:color w:val="231F20"/>
        </w:rPr>
        <w:t>mortgage by either a trustee’s sale or a judicial sale, the lender is</w:t>
      </w:r>
      <w:r>
        <w:rPr>
          <w:color w:val="231F20"/>
          <w:spacing w:val="6"/>
        </w:rPr>
        <w:t> </w:t>
      </w:r>
      <w:r>
        <w:rPr>
          <w:color w:val="231F20"/>
        </w:rPr>
        <w:t>barred</w:t>
      </w:r>
      <w:r>
        <w:rPr>
          <w:color w:val="231F20"/>
          <w:spacing w:val="6"/>
        </w:rPr>
        <w:t> </w:t>
      </w:r>
      <w:r>
        <w:rPr>
          <w:color w:val="231F20"/>
        </w:rPr>
        <w:t>from</w:t>
      </w:r>
      <w:r>
        <w:rPr>
          <w:color w:val="231F20"/>
          <w:spacing w:val="6"/>
        </w:rPr>
        <w:t> </w:t>
      </w:r>
      <w:r>
        <w:rPr>
          <w:color w:val="231F20"/>
        </w:rPr>
        <w:t>obtaining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deficiency</w:t>
      </w:r>
      <w:r>
        <w:rPr>
          <w:color w:val="231F20"/>
          <w:spacing w:val="7"/>
        </w:rPr>
        <w:t> </w:t>
      </w:r>
      <w:r>
        <w:rPr>
          <w:color w:val="231F20"/>
        </w:rPr>
        <w:t>judgment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any</w:t>
      </w:r>
    </w:p>
    <w:p>
      <w:pPr>
        <w:pStyle w:val="BodyText"/>
        <w:spacing w:before="93"/>
        <w:ind w:right="117"/>
        <w:jc w:val="both"/>
      </w:pPr>
      <w:r>
        <w:rPr/>
        <w:br w:type="column"/>
      </w:r>
      <w:r>
        <w:rPr>
          <w:color w:val="231F20"/>
        </w:rPr>
        <w:t>amount. Thus, when the value of the secured real estate</w:t>
      </w:r>
      <w:r>
        <w:rPr>
          <w:color w:val="231F20"/>
          <w:spacing w:val="-1"/>
        </w:rPr>
        <w:t> </w:t>
      </w:r>
      <w:r>
        <w:rPr>
          <w:color w:val="231F20"/>
        </w:rPr>
        <w:t>becomes</w:t>
      </w:r>
      <w:r>
        <w:rPr>
          <w:color w:val="231F20"/>
          <w:spacing w:val="-1"/>
        </w:rPr>
        <w:t> </w:t>
      </w:r>
      <w:r>
        <w:rPr>
          <w:color w:val="231F20"/>
        </w:rPr>
        <w:t>inadequate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fully</w:t>
      </w:r>
      <w:r>
        <w:rPr>
          <w:color w:val="231F20"/>
          <w:spacing w:val="-1"/>
        </w:rPr>
        <w:t> </w:t>
      </w:r>
      <w:r>
        <w:rPr>
          <w:color w:val="231F20"/>
        </w:rPr>
        <w:t>satisfy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debt,</w:t>
      </w:r>
      <w:r>
        <w:rPr>
          <w:color w:val="231F20"/>
          <w:spacing w:val="-1"/>
        </w:rPr>
        <w:t> </w:t>
      </w:r>
      <w:r>
        <w:rPr>
          <w:color w:val="231F20"/>
        </w:rPr>
        <w:t>a condition called negative equity, the risk of loss shifts from the owner to the lender.</w:t>
      </w:r>
    </w:p>
    <w:p>
      <w:pPr>
        <w:pStyle w:val="BodyText"/>
        <w:ind w:right="118"/>
        <w:jc w:val="both"/>
      </w:pP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nonrecourse</w:t>
      </w:r>
      <w:r>
        <w:rPr>
          <w:color w:val="231F20"/>
          <w:spacing w:val="-13"/>
        </w:rPr>
        <w:t> </w:t>
      </w:r>
      <w:r>
        <w:rPr>
          <w:color w:val="231F20"/>
        </w:rPr>
        <w:t>mortgage</w:t>
      </w:r>
      <w:r>
        <w:rPr>
          <w:color w:val="231F20"/>
          <w:spacing w:val="-9"/>
        </w:rPr>
        <w:t> </w:t>
      </w:r>
      <w:r>
        <w:rPr>
          <w:color w:val="231F20"/>
        </w:rPr>
        <w:t>retains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nonrecourse</w:t>
      </w:r>
      <w:r>
        <w:rPr>
          <w:color w:val="231F20"/>
          <w:spacing w:val="-9"/>
        </w:rPr>
        <w:t> </w:t>
      </w:r>
      <w:r>
        <w:rPr>
          <w:color w:val="231F20"/>
        </w:rPr>
        <w:t>status for the life of the mortgage unless it is: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37" w:after="0"/>
        <w:ind w:left="640" w:right="0" w:hanging="269"/>
        <w:jc w:val="left"/>
        <w:rPr>
          <w:sz w:val="22"/>
        </w:rPr>
      </w:pPr>
      <w:r>
        <w:rPr>
          <w:color w:val="231F20"/>
          <w:sz w:val="22"/>
        </w:rPr>
        <w:t>subordinated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construction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loan;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5"/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136" w:after="0"/>
        <w:ind w:left="640" w:right="0" w:hanging="269"/>
        <w:jc w:val="left"/>
        <w:rPr>
          <w:sz w:val="22"/>
        </w:rPr>
      </w:pPr>
      <w:r>
        <w:rPr>
          <w:color w:val="231F20"/>
          <w:sz w:val="22"/>
        </w:rPr>
        <w:t>secured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other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property,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whole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part.</w:t>
      </w:r>
    </w:p>
    <w:p>
      <w:pPr>
        <w:pStyle w:val="BodyText"/>
        <w:ind w:right="117"/>
        <w:jc w:val="both"/>
      </w:pPr>
      <w:r>
        <w:rPr>
          <w:color w:val="231F20"/>
        </w:rPr>
        <w:t>The other type of mortgage called </w:t>
      </w:r>
      <w:r>
        <w:rPr>
          <w:b/>
          <w:color w:val="231F20"/>
        </w:rPr>
        <w:t>recourse debt </w:t>
      </w:r>
      <w:r>
        <w:rPr>
          <w:color w:val="231F20"/>
        </w:rPr>
        <w:t>is any</w:t>
      </w:r>
      <w:r>
        <w:rPr>
          <w:color w:val="231F20"/>
          <w:spacing w:val="-16"/>
        </w:rPr>
        <w:t> </w:t>
      </w:r>
      <w:r>
        <w:rPr>
          <w:color w:val="231F20"/>
        </w:rPr>
        <w:t>debt</w:t>
      </w:r>
      <w:r>
        <w:rPr>
          <w:color w:val="231F20"/>
          <w:spacing w:val="-15"/>
        </w:rPr>
        <w:t> </w:t>
      </w:r>
      <w:r>
        <w:rPr>
          <w:color w:val="231F20"/>
        </w:rPr>
        <w:t>not</w:t>
      </w:r>
      <w:r>
        <w:rPr>
          <w:color w:val="231F20"/>
          <w:spacing w:val="-15"/>
        </w:rPr>
        <w:t> </w:t>
      </w:r>
      <w:r>
        <w:rPr>
          <w:color w:val="231F20"/>
        </w:rPr>
        <w:t>classified</w:t>
      </w:r>
      <w:r>
        <w:rPr>
          <w:color w:val="231F20"/>
          <w:spacing w:val="-16"/>
        </w:rPr>
        <w:t> </w:t>
      </w:r>
      <w:r>
        <w:rPr>
          <w:color w:val="231F20"/>
        </w:rPr>
        <w:t>as</w:t>
      </w:r>
      <w:r>
        <w:rPr>
          <w:color w:val="231F20"/>
          <w:spacing w:val="-15"/>
        </w:rPr>
        <w:t> </w:t>
      </w:r>
      <w:r>
        <w:rPr>
          <w:color w:val="231F20"/>
        </w:rPr>
        <w:t>nonrecourse</w:t>
      </w:r>
      <w:r>
        <w:rPr>
          <w:color w:val="231F20"/>
          <w:spacing w:val="-15"/>
        </w:rPr>
        <w:t> </w:t>
      </w:r>
      <w:r>
        <w:rPr>
          <w:color w:val="231F20"/>
        </w:rPr>
        <w:t>debt.</w:t>
      </w:r>
      <w:r>
        <w:rPr>
          <w:color w:val="231F20"/>
          <w:spacing w:val="-15"/>
        </w:rPr>
        <w:t> </w:t>
      </w:r>
      <w:r>
        <w:rPr>
          <w:color w:val="231F20"/>
        </w:rPr>
        <w:t>When</w:t>
      </w:r>
      <w:r>
        <w:rPr>
          <w:color w:val="231F20"/>
          <w:spacing w:val="-16"/>
        </w:rPr>
        <w:t> </w:t>
      </w:r>
      <w:r>
        <w:rPr>
          <w:color w:val="231F20"/>
        </w:rPr>
        <w:t>the </w:t>
      </w:r>
      <w:r>
        <w:rPr>
          <w:color w:val="231F20"/>
          <w:spacing w:val="-4"/>
        </w:rPr>
        <w:t>lender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recourse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mortgage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forecloses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trustee’s </w:t>
      </w:r>
      <w:r>
        <w:rPr>
          <w:color w:val="231F20"/>
        </w:rPr>
        <w:t>sale, the lender may not pursue the homeowner for a loss due to a deficiency in the value of the secured property. However, the lender may only recover </w:t>
      </w:r>
      <w:r>
        <w:rPr>
          <w:color w:val="231F20"/>
        </w:rPr>
        <w:t>a deficiency when they complete a </w:t>
      </w:r>
      <w:r>
        <w:rPr>
          <w:i/>
          <w:color w:val="231F20"/>
        </w:rPr>
        <w:t>judicial foreclosure </w:t>
      </w:r>
      <w:r>
        <w:rPr>
          <w:color w:val="231F20"/>
        </w:rPr>
        <w:t>sale of the property, if: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37" w:after="0"/>
        <w:ind w:left="641" w:right="119" w:hanging="270"/>
        <w:jc w:val="both"/>
        <w:rPr>
          <w:sz w:val="22"/>
        </w:rPr>
      </w:pPr>
      <w:r>
        <w:rPr>
          <w:color w:val="231F20"/>
          <w:sz w:val="22"/>
        </w:rPr>
        <w:t>the court-appraised value of the property at the time of the judicial foreclosure sale is less than the debt; and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137" w:after="0"/>
        <w:ind w:left="641" w:right="119" w:hanging="270"/>
        <w:jc w:val="both"/>
        <w:rPr>
          <w:sz w:val="22"/>
        </w:rPr>
      </w:pPr>
      <w:r>
        <w:rPr>
          <w:color w:val="231F20"/>
          <w:sz w:val="22"/>
        </w:rPr>
        <w:t>the bid at the judicial foreclosure sale is for less than the debt.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720" w:bottom="280" w:left="620" w:right="600"/>
          <w:cols w:num="2" w:equalWidth="0">
            <w:col w:w="5362" w:space="217"/>
            <w:col w:w="5441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6"/>
        <w:ind w:left="0"/>
        <w:rPr>
          <w:sz w:val="20"/>
        </w:rPr>
      </w:pPr>
    </w:p>
    <w:p>
      <w:pPr>
        <w:spacing w:line="249" w:lineRule="auto" w:before="0"/>
        <w:ind w:left="776" w:right="83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spacing w:before="122"/>
        <w:ind w:left="77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5689014</wp:posOffset>
            </wp:positionH>
            <wp:positionV relativeFrom="paragraph">
              <wp:posOffset>98049</wp:posOffset>
            </wp:positionV>
            <wp:extent cx="600807" cy="69290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DRE</w:t>
      </w:r>
      <w:r>
        <w:rPr>
          <w:spacing w:val="-4"/>
          <w:sz w:val="20"/>
        </w:rPr>
        <w:t> </w:t>
      </w:r>
      <w:r>
        <w:rPr>
          <w:sz w:val="20"/>
        </w:rPr>
        <w:t>LIC#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01474985</w:t>
      </w:r>
    </w:p>
    <w:p>
      <w:pPr>
        <w:spacing w:before="10"/>
        <w:ind w:left="778" w:right="0" w:firstLine="0"/>
        <w:jc w:val="left"/>
        <w:rPr>
          <w:sz w:val="20"/>
        </w:rPr>
      </w:pPr>
      <w:r>
        <w:rPr>
          <w:spacing w:val="-2"/>
          <w:sz w:val="20"/>
        </w:rPr>
        <w:t>925-395-</w:t>
      </w:r>
      <w:r>
        <w:rPr>
          <w:spacing w:val="-4"/>
          <w:sz w:val="20"/>
        </w:rPr>
        <w:t>0175</w:t>
      </w:r>
    </w:p>
    <w:p>
      <w:pPr>
        <w:spacing w:line="249" w:lineRule="auto" w:before="10"/>
        <w:ind w:left="778" w:right="5380" w:firstLine="0"/>
        <w:jc w:val="left"/>
        <w:rPr>
          <w:sz w:val="20"/>
        </w:rPr>
      </w:pPr>
      <w:hyperlink r:id="rId7">
        <w:r>
          <w:rPr>
            <w:spacing w:val="-2"/>
            <w:sz w:val="20"/>
          </w:rPr>
          <w:t>christy@christyscarealty.com</w:t>
        </w:r>
      </w:hyperlink>
      <w:r>
        <w:rPr>
          <w:spacing w:val="-2"/>
          <w:sz w:val="20"/>
        </w:rPr>
        <w:t> christyscaliforniarealty.com</w:t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1" w:hanging="27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7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7"/>
      <w:ind w:left="101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0" w:lineRule="exact"/>
    </w:pPr>
    <w:rPr>
      <w:rFonts w:ascii="Arial" w:hAnsi="Arial" w:eastAsia="Arial" w:cs="Arial"/>
      <w:b/>
      <w:bCs/>
      <w:sz w:val="57"/>
      <w:szCs w:val="5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641" w:right="38" w:hanging="27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2024-09-08T23:17:51Z</dcterms:created>
  <dcterms:modified xsi:type="dcterms:W3CDTF">2024-09-08T23:17:51Z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LiveCycle Designer 11.0</vt:lpwstr>
  </property>
</Properties>
</file>