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0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7315200" cy="3218815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3218815"/>
                          <a:chExt cx="7315200" cy="321881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3218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996948"/>
                            <a:ext cx="7315200" cy="1021080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auto" w:before="271"/>
                                <w:ind w:left="2693" w:right="0" w:hanging="812"/>
                                <w:jc w:val="left"/>
                                <w:rPr>
                                  <w:rFonts w:ascii="Times New Roman"/>
                                  <w:b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safety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standards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for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0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property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improvements are required?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53.45pt;mso-position-horizontal-relative:char;mso-position-vertical-relative:line" id="docshapegroup1" coordorigin="0,0" coordsize="11520,5069">
                <v:shape style="position:absolute;left:0;top:0;width:11520;height:5069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3144;width:11520;height:1608" type="#_x0000_t202" id="docshape3" filled="true" fillcolor="#d2232a" stroked="false">
                  <v:textbox inset="0,0,0,0">
                    <w:txbxContent>
                      <w:p>
                        <w:pPr>
                          <w:spacing w:line="249" w:lineRule="auto" w:before="271"/>
                          <w:ind w:left="2693" w:right="0" w:hanging="812"/>
                          <w:jc w:val="left"/>
                          <w:rPr>
                            <w:rFonts w:ascii="Times New Roman"/>
                            <w:b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safety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standards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for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0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property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improvements are required?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5"/>
        <w:ind w:left="0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2240" w:h="15840"/>
          <w:pgMar w:top="380" w:bottom="0" w:left="260" w:right="260"/>
        </w:sectPr>
      </w:pPr>
    </w:p>
    <w:p>
      <w:pPr>
        <w:pStyle w:val="BodyText"/>
        <w:spacing w:before="113"/>
        <w:ind w:left="459" w:firstLine="663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449215</wp:posOffset>
                </wp:positionH>
                <wp:positionV relativeFrom="paragraph">
                  <wp:posOffset>5047</wp:posOffset>
                </wp:positionV>
                <wp:extent cx="337185" cy="40513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37185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0" w:right="0" w:firstLine="0"/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15"/>
                                <w:sz w:val="52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3713pt;margin-top:.397473pt;width:26.55pt;height:31.9pt;mso-position-horizontal-relative:page;mso-position-vertical-relative:paragraph;z-index:15730176" type="#_x0000_t202" id="docshape4" filled="false" stroked="false">
                <v:textbox inset="0,0,0,0">
                  <w:txbxContent>
                    <w:p>
                      <w:pPr>
                        <w:spacing w:before="35"/>
                        <w:ind w:left="0" w:right="0" w:firstLine="0"/>
                        <w:jc w:val="lef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D2232A"/>
                          <w:spacing w:val="-15"/>
                          <w:sz w:val="52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31F20"/>
          <w:w w:val="110"/>
        </w:rPr>
        <w:t>Automatic</w:t>
      </w:r>
      <w:r>
        <w:rPr>
          <w:b/>
          <w:color w:val="231F20"/>
          <w:spacing w:val="10"/>
          <w:w w:val="110"/>
        </w:rPr>
        <w:t> </w:t>
      </w:r>
      <w:r>
        <w:rPr>
          <w:b/>
          <w:color w:val="231F20"/>
          <w:w w:val="110"/>
        </w:rPr>
        <w:t>garage</w:t>
      </w:r>
      <w:r>
        <w:rPr>
          <w:b/>
          <w:color w:val="231F20"/>
          <w:spacing w:val="10"/>
          <w:w w:val="110"/>
        </w:rPr>
        <w:t> </w:t>
      </w:r>
      <w:r>
        <w:rPr>
          <w:b/>
          <w:color w:val="231F20"/>
          <w:w w:val="110"/>
        </w:rPr>
        <w:t>doors</w:t>
      </w:r>
      <w:r>
        <w:rPr>
          <w:b/>
          <w:color w:val="231F20"/>
          <w:spacing w:val="9"/>
          <w:w w:val="110"/>
        </w:rPr>
        <w:t> </w:t>
      </w:r>
      <w:r>
        <w:rPr>
          <w:color w:val="231F20"/>
          <w:w w:val="110"/>
        </w:rPr>
        <w:t>installed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after January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1,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1991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required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an automatic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reverse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safety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device.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Further,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garage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door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openers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installed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on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after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January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1,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1993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are required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sensor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which,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interrupted or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misaligned,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causes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closing</w:t>
      </w:r>
      <w:r>
        <w:rPr>
          <w:color w:val="231F20"/>
          <w:spacing w:val="46"/>
          <w:w w:val="110"/>
        </w:rPr>
        <w:t> </w:t>
      </w:r>
      <w:r>
        <w:rPr>
          <w:color w:val="231F20"/>
          <w:w w:val="110"/>
        </w:rPr>
        <w:t>door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47"/>
          <w:w w:val="110"/>
        </w:rPr>
        <w:t> </w:t>
      </w:r>
      <w:r>
        <w:rPr>
          <w:color w:val="231F20"/>
          <w:w w:val="110"/>
        </w:rPr>
        <w:t>open</w:t>
      </w:r>
      <w:r>
        <w:rPr>
          <w:color w:val="231F20"/>
          <w:spacing w:val="47"/>
          <w:w w:val="110"/>
        </w:rPr>
        <w:t> </w:t>
      </w:r>
      <w:r>
        <w:rPr>
          <w:color w:val="231F20"/>
          <w:spacing w:val="-5"/>
          <w:w w:val="110"/>
        </w:rPr>
        <w:t>and</w:t>
      </w:r>
    </w:p>
    <w:p>
      <w:pPr>
        <w:pStyle w:val="BodyText"/>
        <w:spacing w:before="0"/>
        <w:ind w:left="459"/>
        <w:jc w:val="both"/>
      </w:pPr>
      <w:r>
        <w:rPr>
          <w:color w:val="231F20"/>
          <w:w w:val="110"/>
        </w:rPr>
        <w:t>prevents an open door from </w:t>
      </w:r>
      <w:r>
        <w:rPr>
          <w:color w:val="231F20"/>
          <w:spacing w:val="-2"/>
          <w:w w:val="110"/>
        </w:rPr>
        <w:t>closing.</w:t>
      </w:r>
    </w:p>
    <w:p>
      <w:pPr>
        <w:pStyle w:val="BodyText"/>
        <w:ind w:left="459" w:right="1"/>
        <w:jc w:val="both"/>
      </w:pPr>
      <w:r>
        <w:rPr>
          <w:b/>
          <w:color w:val="231F20"/>
          <w:w w:val="105"/>
        </w:rPr>
        <w:t>Pools</w:t>
      </w:r>
      <w:r>
        <w:rPr>
          <w:b/>
          <w:color w:val="231F20"/>
          <w:spacing w:val="40"/>
          <w:w w:val="105"/>
        </w:rPr>
        <w:t> </w:t>
      </w:r>
      <w:r>
        <w:rPr>
          <w:b/>
          <w:color w:val="231F20"/>
          <w:w w:val="105"/>
        </w:rPr>
        <w:t>constructed</w:t>
      </w:r>
      <w:r>
        <w:rPr>
          <w:b/>
          <w:color w:val="231F20"/>
          <w:spacing w:val="40"/>
          <w:w w:val="105"/>
        </w:rPr>
        <w:t> </w:t>
      </w:r>
      <w:r>
        <w:rPr>
          <w:color w:val="231F20"/>
          <w:w w:val="105"/>
        </w:rPr>
        <w:t>under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permit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issued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05"/>
        </w:rPr>
        <w:t>after</w:t>
      </w:r>
      <w:r>
        <w:rPr>
          <w:color w:val="231F20"/>
          <w:w w:val="105"/>
        </w:rPr>
        <w:t> January</w:t>
      </w:r>
      <w:r>
        <w:rPr>
          <w:color w:val="231F20"/>
          <w:w w:val="105"/>
        </w:rPr>
        <w:t> 1,</w:t>
      </w:r>
      <w:r>
        <w:rPr>
          <w:color w:val="231F20"/>
          <w:w w:val="105"/>
        </w:rPr>
        <w:t> 1998</w:t>
      </w:r>
      <w:r>
        <w:rPr>
          <w:color w:val="231F20"/>
          <w:w w:val="105"/>
        </w:rPr>
        <w:t> need</w:t>
      </w:r>
      <w:r>
        <w:rPr>
          <w:color w:val="231F20"/>
          <w:w w:val="105"/>
        </w:rPr>
        <w:t> to</w:t>
      </w:r>
      <w:r>
        <w:rPr>
          <w:color w:val="231F20"/>
          <w:w w:val="105"/>
        </w:rPr>
        <w:t> comply</w:t>
      </w:r>
      <w:r>
        <w:rPr>
          <w:color w:val="231F20"/>
          <w:w w:val="105"/>
        </w:rPr>
        <w:t> with</w:t>
      </w:r>
      <w:r>
        <w:rPr>
          <w:color w:val="231F20"/>
          <w:w w:val="105"/>
        </w:rPr>
        <w:t> safety requirements, including one of the following:</w:t>
      </w: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91" w:after="0"/>
        <w:ind w:left="908" w:right="0" w:hanging="269"/>
        <w:jc w:val="left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surrounding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barrier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at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least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60</w:t>
      </w:r>
      <w:r>
        <w:rPr>
          <w:color w:val="231F20"/>
          <w:spacing w:val="31"/>
          <w:sz w:val="20"/>
        </w:rPr>
        <w:t> </w:t>
      </w:r>
      <w:r>
        <w:rPr>
          <w:color w:val="231F20"/>
          <w:sz w:val="20"/>
        </w:rPr>
        <w:t>inches</w:t>
      </w:r>
      <w:r>
        <w:rPr>
          <w:color w:val="231F20"/>
          <w:spacing w:val="31"/>
          <w:sz w:val="20"/>
        </w:rPr>
        <w:t> </w:t>
      </w:r>
      <w:r>
        <w:rPr>
          <w:color w:val="231F20"/>
          <w:spacing w:val="-2"/>
          <w:sz w:val="20"/>
        </w:rPr>
        <w:t>tall;</w:t>
      </w:r>
    </w:p>
    <w:p>
      <w:pPr>
        <w:pStyle w:val="ListParagraph"/>
        <w:numPr>
          <w:ilvl w:val="0"/>
          <w:numId w:val="1"/>
        </w:numPr>
        <w:tabs>
          <w:tab w:pos="909" w:val="left" w:leader="none"/>
        </w:tabs>
        <w:spacing w:line="240" w:lineRule="auto" w:before="90" w:after="0"/>
        <w:ind w:left="909" w:right="0" w:hanging="270"/>
        <w:jc w:val="left"/>
        <w:rPr>
          <w:sz w:val="20"/>
        </w:rPr>
      </w:pPr>
      <w:r>
        <w:rPr>
          <w:color w:val="231F20"/>
          <w:w w:val="110"/>
          <w:sz w:val="20"/>
        </w:rPr>
        <w:t>removable mesh pool fencing with a </w:t>
      </w:r>
      <w:r>
        <w:rPr>
          <w:color w:val="231F20"/>
          <w:w w:val="110"/>
          <w:sz w:val="20"/>
        </w:rPr>
        <w:t>self-closing and self-latching gate that is key lockable;</w:t>
      </w: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90" w:after="0"/>
        <w:ind w:left="908" w:right="0" w:hanging="269"/>
        <w:jc w:val="left"/>
        <w:rPr>
          <w:sz w:val="20"/>
        </w:rPr>
      </w:pPr>
      <w:r>
        <w:rPr>
          <w:color w:val="231F20"/>
          <w:spacing w:val="-2"/>
          <w:w w:val="115"/>
          <w:sz w:val="20"/>
        </w:rPr>
        <w:t>an</w:t>
      </w:r>
      <w:r>
        <w:rPr>
          <w:color w:val="231F20"/>
          <w:spacing w:val="-8"/>
          <w:w w:val="115"/>
          <w:sz w:val="20"/>
        </w:rPr>
        <w:t> </w:t>
      </w:r>
      <w:r>
        <w:rPr>
          <w:color w:val="231F20"/>
          <w:spacing w:val="-2"/>
          <w:w w:val="115"/>
          <w:sz w:val="20"/>
        </w:rPr>
        <w:t>approved</w:t>
      </w:r>
      <w:r>
        <w:rPr>
          <w:color w:val="231F20"/>
          <w:spacing w:val="-7"/>
          <w:w w:val="115"/>
          <w:sz w:val="20"/>
        </w:rPr>
        <w:t> </w:t>
      </w:r>
      <w:r>
        <w:rPr>
          <w:color w:val="231F20"/>
          <w:spacing w:val="-2"/>
          <w:w w:val="115"/>
          <w:sz w:val="20"/>
        </w:rPr>
        <w:t>safety</w:t>
      </w:r>
      <w:r>
        <w:rPr>
          <w:color w:val="231F20"/>
          <w:spacing w:val="-7"/>
          <w:w w:val="115"/>
          <w:sz w:val="20"/>
        </w:rPr>
        <w:t> </w:t>
      </w:r>
      <w:r>
        <w:rPr>
          <w:color w:val="231F20"/>
          <w:spacing w:val="-2"/>
          <w:w w:val="115"/>
          <w:sz w:val="20"/>
        </w:rPr>
        <w:t>cover;</w:t>
      </w:r>
    </w:p>
    <w:p>
      <w:pPr>
        <w:pStyle w:val="ListParagraph"/>
        <w:numPr>
          <w:ilvl w:val="0"/>
          <w:numId w:val="1"/>
        </w:numPr>
        <w:tabs>
          <w:tab w:pos="909" w:val="left" w:leader="none"/>
        </w:tabs>
        <w:spacing w:line="240" w:lineRule="auto" w:before="90" w:after="0"/>
        <w:ind w:left="909" w:right="0" w:hanging="270"/>
        <w:jc w:val="both"/>
        <w:rPr>
          <w:sz w:val="20"/>
        </w:rPr>
      </w:pPr>
      <w:r>
        <w:rPr>
          <w:color w:val="231F20"/>
          <w:w w:val="110"/>
          <w:sz w:val="20"/>
        </w:rPr>
        <w:t>an</w:t>
      </w:r>
      <w:r>
        <w:rPr>
          <w:color w:val="231F20"/>
          <w:w w:val="110"/>
          <w:sz w:val="20"/>
        </w:rPr>
        <w:t> up-to-code</w:t>
      </w:r>
      <w:r>
        <w:rPr>
          <w:color w:val="231F20"/>
          <w:w w:val="110"/>
          <w:sz w:val="20"/>
        </w:rPr>
        <w:t> surface</w:t>
      </w:r>
      <w:r>
        <w:rPr>
          <w:color w:val="231F20"/>
          <w:w w:val="110"/>
          <w:sz w:val="20"/>
        </w:rPr>
        <w:t> motion,</w:t>
      </w:r>
      <w:r>
        <w:rPr>
          <w:color w:val="231F20"/>
          <w:w w:val="110"/>
          <w:sz w:val="20"/>
        </w:rPr>
        <w:t> pressure,</w:t>
      </w:r>
      <w:r>
        <w:rPr>
          <w:color w:val="231F20"/>
          <w:w w:val="110"/>
          <w:sz w:val="20"/>
        </w:rPr>
        <w:t> </w:t>
      </w:r>
      <w:r>
        <w:rPr>
          <w:color w:val="231F20"/>
          <w:w w:val="110"/>
          <w:sz w:val="20"/>
        </w:rPr>
        <w:t>sonar, </w:t>
      </w:r>
      <w:r>
        <w:rPr>
          <w:color w:val="231F20"/>
          <w:sz w:val="20"/>
        </w:rPr>
        <w:t>laser, or infrared swimming pool alarm that sounds </w:t>
      </w:r>
      <w:r>
        <w:rPr>
          <w:color w:val="231F20"/>
          <w:w w:val="110"/>
          <w:sz w:val="20"/>
        </w:rPr>
        <w:t>when</w:t>
      </w:r>
      <w:r>
        <w:rPr>
          <w:color w:val="231F20"/>
          <w:w w:val="110"/>
          <w:sz w:val="20"/>
        </w:rPr>
        <w:t> it</w:t>
      </w:r>
      <w:r>
        <w:rPr>
          <w:color w:val="231F20"/>
          <w:w w:val="110"/>
          <w:sz w:val="20"/>
        </w:rPr>
        <w:t> detects</w:t>
      </w:r>
      <w:r>
        <w:rPr>
          <w:color w:val="231F20"/>
          <w:w w:val="110"/>
          <w:sz w:val="20"/>
        </w:rPr>
        <w:t> accidental</w:t>
      </w:r>
      <w:r>
        <w:rPr>
          <w:color w:val="231F20"/>
          <w:w w:val="110"/>
          <w:sz w:val="20"/>
        </w:rPr>
        <w:t> or</w:t>
      </w:r>
      <w:r>
        <w:rPr>
          <w:color w:val="231F20"/>
          <w:w w:val="110"/>
          <w:sz w:val="20"/>
        </w:rPr>
        <w:t> unauthorized entrances into the water; or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  <w:tab w:pos="909" w:val="left" w:leader="none"/>
        </w:tabs>
        <w:spacing w:line="240" w:lineRule="auto" w:before="90" w:after="0"/>
        <w:ind w:left="909" w:right="0" w:hanging="271"/>
        <w:jc w:val="both"/>
        <w:rPr>
          <w:sz w:val="20"/>
        </w:rPr>
      </w:pPr>
      <w:r>
        <w:rPr>
          <w:color w:val="231F20"/>
          <w:w w:val="110"/>
          <w:sz w:val="20"/>
        </w:rPr>
        <w:t>all</w:t>
      </w:r>
      <w:r>
        <w:rPr>
          <w:color w:val="231F20"/>
          <w:w w:val="110"/>
          <w:sz w:val="20"/>
        </w:rPr>
        <w:t> the</w:t>
      </w:r>
      <w:r>
        <w:rPr>
          <w:color w:val="231F20"/>
          <w:w w:val="110"/>
          <w:sz w:val="20"/>
        </w:rPr>
        <w:t> doors</w:t>
      </w:r>
      <w:r>
        <w:rPr>
          <w:color w:val="231F20"/>
          <w:w w:val="110"/>
          <w:sz w:val="20"/>
        </w:rPr>
        <w:t> of</w:t>
      </w:r>
      <w:r>
        <w:rPr>
          <w:color w:val="231F20"/>
          <w:w w:val="110"/>
          <w:sz w:val="20"/>
        </w:rPr>
        <w:t> the</w:t>
      </w:r>
      <w:r>
        <w:rPr>
          <w:color w:val="231F20"/>
          <w:w w:val="110"/>
          <w:sz w:val="20"/>
        </w:rPr>
        <w:t> residence</w:t>
      </w:r>
      <w:r>
        <w:rPr>
          <w:color w:val="231F20"/>
          <w:w w:val="110"/>
          <w:sz w:val="20"/>
        </w:rPr>
        <w:t> providing</w:t>
      </w:r>
      <w:r>
        <w:rPr>
          <w:color w:val="231F20"/>
          <w:w w:val="110"/>
          <w:sz w:val="20"/>
        </w:rPr>
        <w:t> access</w:t>
      </w:r>
      <w:r>
        <w:rPr>
          <w:color w:val="231F20"/>
          <w:spacing w:val="80"/>
          <w:w w:val="110"/>
          <w:sz w:val="20"/>
        </w:rPr>
        <w:t> </w:t>
      </w:r>
      <w:r>
        <w:rPr>
          <w:color w:val="231F20"/>
          <w:w w:val="110"/>
          <w:sz w:val="20"/>
        </w:rPr>
        <w:t>to</w:t>
      </w:r>
      <w:r>
        <w:rPr>
          <w:color w:val="231F20"/>
          <w:w w:val="110"/>
          <w:sz w:val="20"/>
        </w:rPr>
        <w:t> the</w:t>
      </w:r>
      <w:r>
        <w:rPr>
          <w:color w:val="231F20"/>
          <w:w w:val="110"/>
          <w:sz w:val="20"/>
        </w:rPr>
        <w:t> pool</w:t>
      </w:r>
      <w:r>
        <w:rPr>
          <w:color w:val="231F20"/>
          <w:w w:val="110"/>
          <w:sz w:val="20"/>
        </w:rPr>
        <w:t> are</w:t>
      </w:r>
      <w:r>
        <w:rPr>
          <w:color w:val="231F20"/>
          <w:w w:val="110"/>
          <w:sz w:val="20"/>
        </w:rPr>
        <w:t> equipped</w:t>
      </w:r>
      <w:r>
        <w:rPr>
          <w:color w:val="231F20"/>
          <w:w w:val="110"/>
          <w:sz w:val="20"/>
        </w:rPr>
        <w:t> with</w:t>
      </w:r>
      <w:r>
        <w:rPr>
          <w:color w:val="231F20"/>
          <w:w w:val="110"/>
          <w:sz w:val="20"/>
        </w:rPr>
        <w:t> exit</w:t>
      </w:r>
      <w:r>
        <w:rPr>
          <w:color w:val="231F20"/>
          <w:w w:val="110"/>
          <w:sz w:val="20"/>
        </w:rPr>
        <w:t> alarms</w:t>
      </w:r>
      <w:r>
        <w:rPr>
          <w:color w:val="231F20"/>
          <w:w w:val="110"/>
          <w:sz w:val="20"/>
        </w:rPr>
        <w:t> or</w:t>
      </w:r>
      <w:r>
        <w:rPr>
          <w:color w:val="231F20"/>
          <w:w w:val="110"/>
          <w:sz w:val="20"/>
        </w:rPr>
        <w:t> a self-closing,</w:t>
      </w:r>
      <w:r>
        <w:rPr>
          <w:color w:val="231F20"/>
          <w:w w:val="110"/>
          <w:sz w:val="20"/>
        </w:rPr>
        <w:t> self-latching</w:t>
      </w:r>
      <w:r>
        <w:rPr>
          <w:color w:val="231F20"/>
          <w:w w:val="110"/>
          <w:sz w:val="20"/>
        </w:rPr>
        <w:t> device</w:t>
      </w:r>
      <w:r>
        <w:rPr>
          <w:color w:val="231F20"/>
          <w:w w:val="110"/>
          <w:sz w:val="20"/>
        </w:rPr>
        <w:t> with</w:t>
      </w:r>
      <w:r>
        <w:rPr>
          <w:color w:val="231F20"/>
          <w:w w:val="110"/>
          <w:sz w:val="20"/>
        </w:rPr>
        <w:t> a</w:t>
      </w:r>
      <w:r>
        <w:rPr>
          <w:color w:val="231F20"/>
          <w:w w:val="110"/>
          <w:sz w:val="20"/>
        </w:rPr>
        <w:t> </w:t>
      </w:r>
      <w:r>
        <w:rPr>
          <w:color w:val="231F20"/>
          <w:w w:val="110"/>
          <w:sz w:val="20"/>
        </w:rPr>
        <w:t>release mechanism</w:t>
      </w:r>
      <w:r>
        <w:rPr>
          <w:color w:val="231F20"/>
          <w:w w:val="110"/>
          <w:sz w:val="20"/>
        </w:rPr>
        <w:t> placed</w:t>
      </w:r>
      <w:r>
        <w:rPr>
          <w:color w:val="231F20"/>
          <w:w w:val="110"/>
          <w:sz w:val="20"/>
        </w:rPr>
        <w:t> no</w:t>
      </w:r>
      <w:r>
        <w:rPr>
          <w:color w:val="231F20"/>
          <w:w w:val="110"/>
          <w:sz w:val="20"/>
        </w:rPr>
        <w:t> lower</w:t>
      </w:r>
      <w:r>
        <w:rPr>
          <w:color w:val="231F20"/>
          <w:w w:val="110"/>
          <w:sz w:val="20"/>
        </w:rPr>
        <w:t> than</w:t>
      </w:r>
      <w:r>
        <w:rPr>
          <w:color w:val="231F20"/>
          <w:w w:val="110"/>
          <w:sz w:val="20"/>
        </w:rPr>
        <w:t> 54</w:t>
      </w:r>
      <w:r>
        <w:rPr>
          <w:color w:val="231F20"/>
          <w:w w:val="110"/>
          <w:sz w:val="20"/>
        </w:rPr>
        <w:t> inches above the floor.</w:t>
      </w:r>
    </w:p>
    <w:p>
      <w:pPr>
        <w:pStyle w:val="BodyText"/>
        <w:ind w:left="459"/>
        <w:jc w:val="both"/>
      </w:pPr>
      <w:r>
        <w:rPr>
          <w:color w:val="231F20"/>
          <w:w w:val="110"/>
        </w:rPr>
        <w:t>All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existing</w:t>
      </w:r>
      <w:r>
        <w:rPr>
          <w:color w:val="231F20"/>
          <w:spacing w:val="-15"/>
          <w:w w:val="110"/>
        </w:rPr>
        <w:t> </w:t>
      </w:r>
      <w:r>
        <w:rPr>
          <w:b/>
          <w:color w:val="231F20"/>
          <w:w w:val="110"/>
        </w:rPr>
        <w:t>home</w:t>
      </w:r>
      <w:r>
        <w:rPr>
          <w:b/>
          <w:color w:val="231F20"/>
          <w:spacing w:val="-15"/>
          <w:w w:val="110"/>
        </w:rPr>
        <w:t> </w:t>
      </w:r>
      <w:r>
        <w:rPr>
          <w:b/>
          <w:color w:val="231F20"/>
          <w:w w:val="110"/>
        </w:rPr>
        <w:t>water</w:t>
      </w:r>
      <w:r>
        <w:rPr>
          <w:b/>
          <w:color w:val="231F20"/>
          <w:spacing w:val="-16"/>
          <w:w w:val="110"/>
        </w:rPr>
        <w:t> </w:t>
      </w:r>
      <w:r>
        <w:rPr>
          <w:b/>
          <w:color w:val="231F20"/>
          <w:w w:val="110"/>
        </w:rPr>
        <w:t>heaters</w:t>
      </w:r>
      <w:r>
        <w:rPr>
          <w:b/>
          <w:color w:val="231F20"/>
          <w:spacing w:val="-15"/>
          <w:w w:val="110"/>
        </w:rPr>
        <w:t> </w:t>
      </w:r>
      <w:r>
        <w:rPr>
          <w:color w:val="231F20"/>
          <w:w w:val="110"/>
        </w:rPr>
        <w:t>need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anchored, braced or strapped to prevent displacement due to</w:t>
      </w:r>
      <w:r>
        <w:rPr>
          <w:color w:val="231F20"/>
          <w:spacing w:val="80"/>
          <w:w w:val="110"/>
        </w:rPr>
        <w:t> </w:t>
      </w:r>
      <w:r>
        <w:rPr>
          <w:color w:val="231F20"/>
          <w:w w:val="110"/>
        </w:rPr>
        <w:t>an earthquake.</w:t>
      </w:r>
    </w:p>
    <w:p>
      <w:pPr>
        <w:spacing w:before="90"/>
        <w:ind w:left="459" w:right="0" w:firstLine="0"/>
        <w:jc w:val="both"/>
        <w:rPr>
          <w:sz w:val="20"/>
        </w:rPr>
      </w:pPr>
      <w:r>
        <w:rPr>
          <w:b/>
          <w:color w:val="231F20"/>
          <w:w w:val="110"/>
          <w:sz w:val="20"/>
        </w:rPr>
        <w:t>Security</w:t>
      </w:r>
      <w:r>
        <w:rPr>
          <w:b/>
          <w:color w:val="231F20"/>
          <w:spacing w:val="4"/>
          <w:w w:val="110"/>
          <w:sz w:val="20"/>
        </w:rPr>
        <w:t> </w:t>
      </w:r>
      <w:r>
        <w:rPr>
          <w:b/>
          <w:color w:val="231F20"/>
          <w:w w:val="110"/>
          <w:sz w:val="20"/>
        </w:rPr>
        <w:t>bars</w:t>
      </w:r>
      <w:r>
        <w:rPr>
          <w:b/>
          <w:color w:val="231F20"/>
          <w:spacing w:val="4"/>
          <w:w w:val="110"/>
          <w:sz w:val="20"/>
        </w:rPr>
        <w:t> </w:t>
      </w:r>
      <w:r>
        <w:rPr>
          <w:color w:val="231F20"/>
          <w:w w:val="110"/>
          <w:sz w:val="20"/>
        </w:rPr>
        <w:t>on</w:t>
      </w:r>
      <w:r>
        <w:rPr>
          <w:color w:val="231F20"/>
          <w:spacing w:val="4"/>
          <w:w w:val="110"/>
          <w:sz w:val="20"/>
        </w:rPr>
        <w:t> </w:t>
      </w:r>
      <w:r>
        <w:rPr>
          <w:color w:val="231F20"/>
          <w:w w:val="110"/>
          <w:sz w:val="20"/>
        </w:rPr>
        <w:t>residential</w:t>
      </w:r>
      <w:r>
        <w:rPr>
          <w:color w:val="231F20"/>
          <w:spacing w:val="5"/>
          <w:w w:val="110"/>
          <w:sz w:val="20"/>
        </w:rPr>
        <w:t> </w:t>
      </w:r>
      <w:r>
        <w:rPr>
          <w:color w:val="231F20"/>
          <w:w w:val="110"/>
          <w:sz w:val="20"/>
        </w:rPr>
        <w:t>property</w:t>
      </w:r>
      <w:r>
        <w:rPr>
          <w:color w:val="231F20"/>
          <w:spacing w:val="3"/>
          <w:w w:val="110"/>
          <w:sz w:val="20"/>
        </w:rPr>
        <w:t> </w:t>
      </w:r>
      <w:r>
        <w:rPr>
          <w:color w:val="231F20"/>
          <w:w w:val="110"/>
          <w:sz w:val="20"/>
        </w:rPr>
        <w:t>are</w:t>
      </w:r>
      <w:r>
        <w:rPr>
          <w:color w:val="231F20"/>
          <w:spacing w:val="4"/>
          <w:w w:val="110"/>
          <w:sz w:val="20"/>
        </w:rPr>
        <w:t> </w:t>
      </w:r>
      <w:r>
        <w:rPr>
          <w:color w:val="231F20"/>
          <w:w w:val="110"/>
          <w:sz w:val="20"/>
        </w:rPr>
        <w:t>required</w:t>
      </w:r>
      <w:r>
        <w:rPr>
          <w:color w:val="231F20"/>
          <w:spacing w:val="4"/>
          <w:w w:val="110"/>
          <w:sz w:val="20"/>
        </w:rPr>
        <w:t> </w:t>
      </w:r>
      <w:r>
        <w:rPr>
          <w:color w:val="231F20"/>
          <w:spacing w:val="-5"/>
          <w:w w:val="110"/>
          <w:sz w:val="20"/>
        </w:rPr>
        <w:t>to</w:t>
      </w:r>
    </w:p>
    <w:p>
      <w:pPr>
        <w:pStyle w:val="BodyText"/>
        <w:spacing w:before="113"/>
        <w:jc w:val="both"/>
      </w:pPr>
      <w:r>
        <w:rPr/>
        <w:br w:type="column"/>
      </w:r>
      <w:r>
        <w:rPr>
          <w:color w:val="231F20"/>
          <w:w w:val="105"/>
        </w:rPr>
        <w:t>have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release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mechanisms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fire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safety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reasons.</w:t>
      </w:r>
    </w:p>
    <w:p>
      <w:pPr>
        <w:pStyle w:val="BodyText"/>
        <w:ind w:right="457"/>
        <w:jc w:val="both"/>
      </w:pPr>
      <w:r>
        <w:rPr>
          <w:b/>
          <w:color w:val="231F20"/>
          <w:w w:val="110"/>
        </w:rPr>
        <w:t>Smoke</w:t>
      </w:r>
      <w:r>
        <w:rPr>
          <w:b/>
          <w:color w:val="231F20"/>
          <w:w w:val="110"/>
        </w:rPr>
        <w:t> alarms</w:t>
      </w:r>
      <w:r>
        <w:rPr>
          <w:b/>
          <w:color w:val="231F20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w w:val="110"/>
        </w:rPr>
        <w:t> residential</w:t>
      </w:r>
      <w:r>
        <w:rPr>
          <w:color w:val="231F20"/>
          <w:w w:val="110"/>
        </w:rPr>
        <w:t> properties</w:t>
      </w:r>
      <w:r>
        <w:rPr>
          <w:color w:val="231F20"/>
          <w:w w:val="110"/>
        </w:rPr>
        <w:t> are</w:t>
      </w:r>
      <w:r>
        <w:rPr>
          <w:color w:val="231F20"/>
          <w:w w:val="110"/>
        </w:rPr>
        <w:t> required to be approved and listed by the State Fire Marshal (SFM).</w:t>
      </w:r>
      <w:r>
        <w:rPr>
          <w:color w:val="231F20"/>
          <w:w w:val="110"/>
        </w:rPr>
        <w:t> Smoke</w:t>
      </w:r>
      <w:r>
        <w:rPr>
          <w:color w:val="231F20"/>
          <w:w w:val="110"/>
        </w:rPr>
        <w:t> alarms</w:t>
      </w:r>
      <w:r>
        <w:rPr>
          <w:color w:val="231F20"/>
          <w:w w:val="110"/>
        </w:rPr>
        <w:t> installed</w:t>
      </w:r>
      <w:r>
        <w:rPr>
          <w:color w:val="231F20"/>
          <w:w w:val="110"/>
        </w:rPr>
        <w:t> on</w:t>
      </w:r>
      <w:r>
        <w:rPr>
          <w:color w:val="231F20"/>
          <w:w w:val="110"/>
        </w:rPr>
        <w:t> or</w:t>
      </w:r>
      <w:r>
        <w:rPr>
          <w:color w:val="231F20"/>
          <w:w w:val="110"/>
        </w:rPr>
        <w:t> after</w:t>
      </w:r>
      <w:r>
        <w:rPr>
          <w:color w:val="231F20"/>
          <w:w w:val="110"/>
        </w:rPr>
        <w:t> January</w:t>
      </w:r>
      <w:r>
        <w:rPr>
          <w:color w:val="231F20"/>
          <w:w w:val="110"/>
        </w:rPr>
        <w:t> 1, 2015,</w:t>
      </w:r>
      <w:r>
        <w:rPr>
          <w:color w:val="231F20"/>
          <w:w w:val="110"/>
        </w:rPr>
        <w:t> whether</w:t>
      </w:r>
      <w:r>
        <w:rPr>
          <w:color w:val="231F20"/>
          <w:w w:val="110"/>
        </w:rPr>
        <w:t> battery-powered</w:t>
      </w:r>
      <w:r>
        <w:rPr>
          <w:color w:val="231F20"/>
          <w:w w:val="110"/>
        </w:rPr>
        <w:t> or</w:t>
      </w:r>
      <w:r>
        <w:rPr>
          <w:color w:val="231F20"/>
          <w:w w:val="110"/>
        </w:rPr>
        <w:t> hardwired,</w:t>
      </w:r>
      <w:r>
        <w:rPr>
          <w:color w:val="231F20"/>
          <w:w w:val="110"/>
        </w:rPr>
        <w:t> need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-4"/>
          <w:w w:val="110"/>
        </w:rPr>
        <w:t>to: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40" w:lineRule="auto" w:before="90" w:after="0"/>
        <w:ind w:left="767" w:right="0" w:hanging="269"/>
        <w:jc w:val="left"/>
        <w:rPr>
          <w:sz w:val="20"/>
        </w:rPr>
      </w:pPr>
      <w:r>
        <w:rPr>
          <w:color w:val="231F20"/>
          <w:spacing w:val="-2"/>
          <w:w w:val="115"/>
          <w:sz w:val="20"/>
        </w:rPr>
        <w:t>display</w:t>
      </w:r>
      <w:r>
        <w:rPr>
          <w:color w:val="231F20"/>
          <w:spacing w:val="-9"/>
          <w:w w:val="115"/>
          <w:sz w:val="20"/>
        </w:rPr>
        <w:t> </w:t>
      </w:r>
      <w:r>
        <w:rPr>
          <w:color w:val="231F20"/>
          <w:spacing w:val="-2"/>
          <w:w w:val="115"/>
          <w:sz w:val="20"/>
        </w:rPr>
        <w:t>the</w:t>
      </w:r>
      <w:r>
        <w:rPr>
          <w:color w:val="231F20"/>
          <w:spacing w:val="-8"/>
          <w:w w:val="115"/>
          <w:sz w:val="20"/>
        </w:rPr>
        <w:t> </w:t>
      </w:r>
      <w:r>
        <w:rPr>
          <w:color w:val="231F20"/>
          <w:spacing w:val="-2"/>
          <w:w w:val="115"/>
          <w:sz w:val="20"/>
        </w:rPr>
        <w:t>date</w:t>
      </w:r>
      <w:r>
        <w:rPr>
          <w:color w:val="231F20"/>
          <w:spacing w:val="-8"/>
          <w:w w:val="115"/>
          <w:sz w:val="20"/>
        </w:rPr>
        <w:t> </w:t>
      </w:r>
      <w:r>
        <w:rPr>
          <w:color w:val="231F20"/>
          <w:spacing w:val="-2"/>
          <w:w w:val="115"/>
          <w:sz w:val="20"/>
        </w:rPr>
        <w:t>of</w:t>
      </w:r>
      <w:r>
        <w:rPr>
          <w:color w:val="231F20"/>
          <w:spacing w:val="-8"/>
          <w:w w:val="115"/>
          <w:sz w:val="20"/>
        </w:rPr>
        <w:t> </w:t>
      </w:r>
      <w:r>
        <w:rPr>
          <w:color w:val="231F20"/>
          <w:spacing w:val="-2"/>
          <w:w w:val="115"/>
          <w:sz w:val="20"/>
        </w:rPr>
        <w:t>manufacture;</w:t>
      </w:r>
    </w:p>
    <w:p>
      <w:pPr>
        <w:pStyle w:val="ListParagraph"/>
        <w:numPr>
          <w:ilvl w:val="0"/>
          <w:numId w:val="2"/>
        </w:numPr>
        <w:tabs>
          <w:tab w:pos="768" w:val="left" w:leader="none"/>
        </w:tabs>
        <w:spacing w:line="240" w:lineRule="auto" w:before="90" w:after="0"/>
        <w:ind w:left="768" w:right="457" w:hanging="270"/>
        <w:jc w:val="left"/>
        <w:rPr>
          <w:sz w:val="20"/>
        </w:rPr>
      </w:pPr>
      <w:r>
        <w:rPr>
          <w:color w:val="231F20"/>
          <w:w w:val="115"/>
          <w:sz w:val="20"/>
        </w:rPr>
        <w:t>provide</w:t>
      </w:r>
      <w:r>
        <w:rPr>
          <w:color w:val="231F20"/>
          <w:spacing w:val="26"/>
          <w:w w:val="115"/>
          <w:sz w:val="20"/>
        </w:rPr>
        <w:t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26"/>
          <w:w w:val="115"/>
          <w:sz w:val="20"/>
        </w:rPr>
        <w:t> </w:t>
      </w:r>
      <w:r>
        <w:rPr>
          <w:color w:val="231F20"/>
          <w:w w:val="115"/>
          <w:sz w:val="20"/>
        </w:rPr>
        <w:t>place</w:t>
      </w:r>
      <w:r>
        <w:rPr>
          <w:color w:val="231F20"/>
          <w:spacing w:val="26"/>
          <w:w w:val="115"/>
          <w:sz w:val="20"/>
        </w:rPr>
        <w:t> </w:t>
      </w:r>
      <w:r>
        <w:rPr>
          <w:color w:val="231F20"/>
          <w:w w:val="115"/>
          <w:sz w:val="20"/>
        </w:rPr>
        <w:t>where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the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date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of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installation can be written; and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40" w:lineRule="auto" w:before="90" w:after="0"/>
        <w:ind w:left="767" w:right="0" w:hanging="269"/>
        <w:jc w:val="left"/>
        <w:rPr>
          <w:sz w:val="20"/>
        </w:rPr>
      </w:pPr>
      <w:r>
        <w:rPr>
          <w:color w:val="231F20"/>
          <w:w w:val="110"/>
          <w:sz w:val="20"/>
        </w:rPr>
        <w:t>incorporate</w:t>
      </w:r>
      <w:r>
        <w:rPr>
          <w:color w:val="231F20"/>
          <w:spacing w:val="-1"/>
          <w:w w:val="110"/>
          <w:sz w:val="20"/>
        </w:rPr>
        <w:t> </w:t>
      </w:r>
      <w:r>
        <w:rPr>
          <w:color w:val="231F20"/>
          <w:w w:val="110"/>
          <w:sz w:val="20"/>
        </w:rPr>
        <w:t>a hush </w:t>
      </w:r>
      <w:r>
        <w:rPr>
          <w:color w:val="231F20"/>
          <w:spacing w:val="-2"/>
          <w:w w:val="110"/>
          <w:sz w:val="20"/>
        </w:rPr>
        <w:t>feature.</w:t>
      </w:r>
    </w:p>
    <w:p>
      <w:pPr>
        <w:pStyle w:val="BodyText"/>
        <w:spacing w:before="91"/>
        <w:ind w:right="457"/>
        <w:jc w:val="both"/>
      </w:pPr>
      <w:r>
        <w:rPr>
          <w:color w:val="231F20"/>
        </w:rPr>
        <w:t>Additionally, as of July 1, 2014, the SFM has required all </w:t>
      </w:r>
      <w:r>
        <w:rPr>
          <w:color w:val="231F20"/>
          <w:w w:val="110"/>
        </w:rPr>
        <w:t>battery-operated smoke alarms to be manufactured with a non-replaceable battery that lasts at least ten </w:t>
      </w:r>
      <w:r>
        <w:rPr>
          <w:color w:val="231F20"/>
          <w:spacing w:val="-2"/>
          <w:w w:val="110"/>
        </w:rPr>
        <w:t>years.</w:t>
      </w:r>
    </w:p>
    <w:p>
      <w:pPr>
        <w:pStyle w:val="BodyText"/>
        <w:ind w:right="457"/>
        <w:jc w:val="both"/>
      </w:pPr>
      <w:r>
        <w:rPr>
          <w:color w:val="231F20"/>
          <w:w w:val="115"/>
        </w:rPr>
        <w:t>Operable</w:t>
      </w:r>
      <w:r>
        <w:rPr>
          <w:color w:val="231F20"/>
          <w:w w:val="115"/>
        </w:rPr>
        <w:t> hardwired</w:t>
      </w:r>
      <w:r>
        <w:rPr>
          <w:color w:val="231F20"/>
          <w:w w:val="115"/>
        </w:rPr>
        <w:t> and</w:t>
      </w:r>
      <w:r>
        <w:rPr>
          <w:color w:val="231F20"/>
          <w:w w:val="115"/>
        </w:rPr>
        <w:t> battery-operated</w:t>
      </w:r>
      <w:r>
        <w:rPr>
          <w:color w:val="231F20"/>
          <w:w w:val="115"/>
        </w:rPr>
        <w:t> smoke alarms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which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were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SFM-approved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listed when</w:t>
      </w:r>
      <w:r>
        <w:rPr>
          <w:color w:val="231F20"/>
          <w:w w:val="115"/>
        </w:rPr>
        <w:t> installed</w:t>
      </w:r>
      <w:r>
        <w:rPr>
          <w:color w:val="231F20"/>
          <w:w w:val="115"/>
        </w:rPr>
        <w:t> prior</w:t>
      </w:r>
      <w:r>
        <w:rPr>
          <w:color w:val="231F20"/>
          <w:w w:val="115"/>
        </w:rPr>
        <w:t> to</w:t>
      </w:r>
      <w:r>
        <w:rPr>
          <w:color w:val="231F20"/>
          <w:w w:val="115"/>
        </w:rPr>
        <w:t> these</w:t>
      </w:r>
      <w:r>
        <w:rPr>
          <w:color w:val="231F20"/>
          <w:w w:val="115"/>
        </w:rPr>
        <w:t> dates</w:t>
      </w:r>
      <w:r>
        <w:rPr>
          <w:color w:val="231F20"/>
          <w:w w:val="115"/>
        </w:rPr>
        <w:t> are</w:t>
      </w:r>
      <w:r>
        <w:rPr>
          <w:color w:val="231F20"/>
          <w:w w:val="115"/>
        </w:rPr>
        <w:t> considered compliant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do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not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need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replaced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until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they no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longer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work.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Local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ordinance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may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require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sooner </w:t>
      </w:r>
      <w:r>
        <w:rPr>
          <w:color w:val="231F20"/>
          <w:spacing w:val="-2"/>
          <w:w w:val="115"/>
        </w:rPr>
        <w:t>replacement.</w:t>
      </w:r>
    </w:p>
    <w:p>
      <w:pPr>
        <w:pStyle w:val="BodyText"/>
        <w:ind w:right="457"/>
        <w:jc w:val="both"/>
      </w:pPr>
      <w:r>
        <w:rPr>
          <w:b/>
          <w:color w:val="231F20"/>
        </w:rPr>
        <w:t>Carbon monoxide detectors </w:t>
      </w:r>
      <w:r>
        <w:rPr>
          <w:color w:val="231F20"/>
        </w:rPr>
        <w:t>approved by the SFM are also</w:t>
      </w:r>
      <w:r>
        <w:rPr>
          <w:color w:val="231F20"/>
          <w:spacing w:val="22"/>
        </w:rPr>
        <w:t> </w:t>
      </w:r>
      <w:r>
        <w:rPr>
          <w:color w:val="231F20"/>
        </w:rPr>
        <w:t>required</w:t>
      </w:r>
      <w:r>
        <w:rPr>
          <w:color w:val="231F20"/>
          <w:spacing w:val="22"/>
        </w:rPr>
        <w:t> </w:t>
      </w:r>
      <w:r>
        <w:rPr>
          <w:color w:val="231F20"/>
        </w:rPr>
        <w:t>for</w:t>
      </w:r>
      <w:r>
        <w:rPr>
          <w:color w:val="231F20"/>
          <w:spacing w:val="22"/>
        </w:rPr>
        <w:t> </w:t>
      </w:r>
      <w:r>
        <w:rPr>
          <w:color w:val="231F20"/>
        </w:rPr>
        <w:t>any</w:t>
      </w:r>
      <w:r>
        <w:rPr>
          <w:color w:val="231F20"/>
          <w:spacing w:val="22"/>
        </w:rPr>
        <w:t> </w:t>
      </w:r>
      <w:r>
        <w:rPr>
          <w:color w:val="231F20"/>
        </w:rPr>
        <w:t>single</w:t>
      </w:r>
      <w:r>
        <w:rPr>
          <w:color w:val="231F20"/>
          <w:spacing w:val="22"/>
        </w:rPr>
        <w:t> </w:t>
      </w:r>
      <w:r>
        <w:rPr>
          <w:color w:val="231F20"/>
        </w:rPr>
        <w:t>family</w:t>
      </w:r>
      <w:r>
        <w:rPr>
          <w:color w:val="231F20"/>
          <w:spacing w:val="22"/>
        </w:rPr>
        <w:t> </w:t>
      </w:r>
      <w:r>
        <w:rPr>
          <w:color w:val="231F20"/>
        </w:rPr>
        <w:t>home</w:t>
      </w:r>
      <w:r>
        <w:rPr>
          <w:color w:val="231F20"/>
          <w:spacing w:val="22"/>
        </w:rPr>
        <w:t> </w:t>
      </w:r>
      <w:r>
        <w:rPr>
          <w:color w:val="231F20"/>
        </w:rPr>
        <w:t>which</w:t>
      </w:r>
      <w:r>
        <w:rPr>
          <w:color w:val="231F20"/>
          <w:spacing w:val="22"/>
        </w:rPr>
        <w:t> </w:t>
      </w:r>
      <w:r>
        <w:rPr>
          <w:color w:val="231F20"/>
        </w:rPr>
        <w:t>contains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a fossil-fuel burning appliance, heater or fireplace or an attached garage.</w:t>
      </w:r>
    </w:p>
    <w:p>
      <w:pPr>
        <w:pStyle w:val="BodyText"/>
        <w:ind w:right="457"/>
        <w:jc w:val="both"/>
      </w:pPr>
      <w:r>
        <w:rPr>
          <w:color w:val="231F20"/>
          <w:w w:val="110"/>
        </w:rPr>
        <w:t>The</w:t>
      </w:r>
      <w:r>
        <w:rPr>
          <w:color w:val="231F20"/>
          <w:w w:val="110"/>
        </w:rPr>
        <w:t> existence</w:t>
      </w:r>
      <w:r>
        <w:rPr>
          <w:color w:val="231F20"/>
          <w:w w:val="110"/>
        </w:rPr>
        <w:t> of</w:t>
      </w:r>
      <w:r>
        <w:rPr>
          <w:color w:val="231F20"/>
          <w:w w:val="110"/>
        </w:rPr>
        <w:t> these</w:t>
      </w:r>
      <w:r>
        <w:rPr>
          <w:color w:val="231F20"/>
          <w:w w:val="110"/>
        </w:rPr>
        <w:t> minimum</w:t>
      </w:r>
      <w:r>
        <w:rPr>
          <w:color w:val="231F20"/>
          <w:w w:val="110"/>
        </w:rPr>
        <w:t> standards</w:t>
      </w:r>
      <w:r>
        <w:rPr>
          <w:color w:val="231F20"/>
          <w:w w:val="110"/>
        </w:rPr>
        <w:t> is</w:t>
      </w:r>
      <w:r>
        <w:rPr>
          <w:color w:val="231F20"/>
          <w:w w:val="110"/>
        </w:rPr>
        <w:t> noted </w:t>
      </w:r>
      <w:r>
        <w:rPr>
          <w:color w:val="231F20"/>
          <w:spacing w:val="-2"/>
          <w:w w:val="110"/>
        </w:rPr>
        <w:t>by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seller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their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agent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on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Transfer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Disclosure </w:t>
      </w:r>
      <w:r>
        <w:rPr>
          <w:color w:val="231F20"/>
          <w:w w:val="110"/>
        </w:rPr>
        <w:t>Statement (TDS).</w:t>
      </w:r>
    </w:p>
    <w:p>
      <w:pPr>
        <w:spacing w:after="0"/>
        <w:jc w:val="both"/>
        <w:sectPr>
          <w:type w:val="continuous"/>
          <w:pgSz w:w="12240" w:h="15840"/>
          <w:pgMar w:top="380" w:bottom="0" w:left="260" w:right="260"/>
          <w:cols w:num="2" w:equalWidth="0">
            <w:col w:w="5682" w:space="40"/>
            <w:col w:w="5998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152"/>
        <w:ind w:left="0"/>
      </w:pPr>
    </w:p>
    <w:p>
      <w:pPr>
        <w:spacing w:line="249" w:lineRule="auto" w:before="0"/>
        <w:ind w:left="1136" w:right="870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pStyle w:val="BodyText"/>
        <w:spacing w:before="122"/>
        <w:ind w:left="113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98056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DRE</w:t>
      </w:r>
      <w:r>
        <w:rPr>
          <w:spacing w:val="-4"/>
        </w:rPr>
        <w:t> </w:t>
      </w:r>
      <w:r>
        <w:rPr/>
        <w:t>LIC#</w:t>
      </w:r>
      <w:r>
        <w:rPr>
          <w:spacing w:val="-1"/>
        </w:rPr>
        <w:t> </w:t>
      </w:r>
      <w:r>
        <w:rPr>
          <w:spacing w:val="-2"/>
        </w:rPr>
        <w:t>01474985</w:t>
      </w:r>
    </w:p>
    <w:p>
      <w:pPr>
        <w:pStyle w:val="BodyText"/>
        <w:spacing w:before="10"/>
        <w:ind w:left="1138"/>
      </w:pPr>
      <w:r>
        <w:rPr>
          <w:spacing w:val="-2"/>
        </w:rPr>
        <w:t>925-395-</w:t>
      </w:r>
      <w:r>
        <w:rPr>
          <w:spacing w:val="-4"/>
        </w:rPr>
        <w:t>0175</w:t>
      </w:r>
    </w:p>
    <w:p>
      <w:pPr>
        <w:pStyle w:val="BodyText"/>
        <w:spacing w:line="249" w:lineRule="auto" w:before="10"/>
        <w:ind w:left="1138" w:right="5720"/>
      </w:pPr>
      <w:hyperlink r:id="rId7">
        <w:r>
          <w:rPr>
            <w:spacing w:val="-2"/>
          </w:rPr>
          <w:t>christy@christyscarealty.com</w:t>
        </w:r>
      </w:hyperlink>
      <w:r>
        <w:rPr>
          <w:spacing w:val="-2"/>
        </w:rPr>
        <w:t> christyscaliforniarealty.com</w:t>
      </w:r>
    </w:p>
    <w:p>
      <w:pPr>
        <w:pStyle w:val="BodyText"/>
        <w:spacing w:before="183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277482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21.849024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68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7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3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7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1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5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0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50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0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7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1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6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4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5" w:hanging="2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0"/>
      <w:ind w:left="318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5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909" w:hanging="26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2024-09-09T00:53:26Z</dcterms:created>
  <dcterms:modified xsi:type="dcterms:W3CDTF">2024-09-09T00:53:26Z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LiveCycle Designer 11.0</vt:lpwstr>
  </property>
</Properties>
</file>