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27057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705735"/>
                          <a:chExt cx="7315200" cy="27057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705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480362"/>
                            <a:ext cx="7315200" cy="8356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126"/>
                                <w:ind w:left="2995" w:right="1185" w:hanging="934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seller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carryback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financing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and what are its benefits?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13.05pt;mso-position-horizontal-relative:char;mso-position-vertical-relative:line" id="docshapegroup1" coordorigin="0,0" coordsize="11520,4261">
                <v:shape style="position:absolute;left:0;top:0;width:11520;height:426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331;width:11520;height:1316" type="#_x0000_t202" id="docshape3" filled="true" fillcolor="#d2232a" stroked="false">
                  <v:textbox inset="0,0,0,0">
                    <w:txbxContent>
                      <w:p>
                        <w:pPr>
                          <w:spacing w:line="249" w:lineRule="auto" w:before="126"/>
                          <w:ind w:left="2995" w:right="1185" w:hanging="934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seller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carryback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financing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and what are its benefits?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740" w:bottom="0" w:left="260" w:right="260"/>
        </w:sectPr>
      </w:pPr>
    </w:p>
    <w:p>
      <w:pPr>
        <w:pStyle w:val="BodyText"/>
        <w:spacing w:before="94"/>
        <w:ind w:left="1154"/>
        <w:jc w:val="both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457200</wp:posOffset>
                </wp:positionH>
                <wp:positionV relativeFrom="paragraph">
                  <wp:posOffset>25080</wp:posOffset>
                </wp:positionV>
                <wp:extent cx="349885" cy="370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974872pt;width:27.55pt;height:29.15pt;mso-position-horizontal-relative:page;mso-position-vertical-relative:paragraph;z-index:-15766528" type="#_x0000_t202" id="docshape4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Sellers looking for buyers during a tight mortgage market</w:t>
      </w:r>
      <w:r>
        <w:rPr>
          <w:color w:val="231F20"/>
          <w:spacing w:val="36"/>
        </w:rPr>
        <w:t>  </w:t>
      </w:r>
      <w:r>
        <w:rPr>
          <w:color w:val="231F20"/>
        </w:rPr>
        <w:t>need</w:t>
      </w:r>
      <w:r>
        <w:rPr>
          <w:color w:val="231F20"/>
          <w:spacing w:val="36"/>
        </w:rPr>
        <w:t>  </w:t>
      </w:r>
      <w:r>
        <w:rPr>
          <w:color w:val="231F20"/>
        </w:rPr>
        <w:t>to</w:t>
      </w:r>
      <w:r>
        <w:rPr>
          <w:color w:val="231F20"/>
          <w:spacing w:val="37"/>
        </w:rPr>
        <w:t>  </w:t>
      </w:r>
      <w:r>
        <w:rPr>
          <w:color w:val="231F20"/>
        </w:rPr>
        <w:t>consider</w:t>
      </w:r>
      <w:r>
        <w:rPr>
          <w:color w:val="231F20"/>
          <w:spacing w:val="36"/>
        </w:rPr>
        <w:t>  </w:t>
      </w:r>
      <w:r>
        <w:rPr>
          <w:color w:val="231F20"/>
        </w:rPr>
        <w:t>offering</w:t>
      </w:r>
      <w:r>
        <w:rPr>
          <w:color w:val="231F20"/>
          <w:spacing w:val="37"/>
        </w:rPr>
        <w:t>  </w:t>
      </w:r>
      <w:r>
        <w:rPr>
          <w:b/>
          <w:color w:val="231F20"/>
          <w:spacing w:val="-2"/>
        </w:rPr>
        <w:t>carryback</w:t>
      </w:r>
    </w:p>
    <w:p>
      <w:pPr>
        <w:spacing w:before="0"/>
        <w:ind w:left="459" w:right="0" w:firstLine="0"/>
        <w:jc w:val="both"/>
        <w:rPr>
          <w:sz w:val="20"/>
        </w:rPr>
      </w:pPr>
      <w:r>
        <w:rPr>
          <w:b/>
          <w:color w:val="231F20"/>
          <w:sz w:val="20"/>
        </w:rPr>
        <w:t>financing</w:t>
      </w:r>
      <w:r>
        <w:rPr>
          <w:b/>
          <w:color w:val="231F20"/>
          <w:spacing w:val="-5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facilitate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deals.</w:t>
      </w:r>
    </w:p>
    <w:p>
      <w:pPr>
        <w:pStyle w:val="BodyText"/>
        <w:ind w:left="459" w:right="204"/>
        <w:jc w:val="both"/>
      </w:pPr>
      <w:r>
        <w:rPr>
          <w:color w:val="231F20"/>
        </w:rPr>
        <w:t>Carryback</w:t>
      </w:r>
      <w:r>
        <w:rPr>
          <w:color w:val="231F20"/>
          <w:spacing w:val="-5"/>
        </w:rPr>
        <w:t> </w:t>
      </w:r>
      <w:r>
        <w:rPr>
          <w:color w:val="231F20"/>
        </w:rPr>
        <w:t>financing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known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seller</w:t>
      </w:r>
      <w:r>
        <w:rPr>
          <w:color w:val="231F20"/>
          <w:spacing w:val="-5"/>
        </w:rPr>
        <w:t> </w:t>
      </w:r>
      <w:r>
        <w:rPr>
          <w:color w:val="231F20"/>
        </w:rPr>
        <w:t>financing,</w:t>
      </w:r>
      <w:r>
        <w:rPr>
          <w:color w:val="231F20"/>
          <w:spacing w:val="-5"/>
        </w:rPr>
        <w:t> </w:t>
      </w:r>
      <w:r>
        <w:rPr>
          <w:color w:val="231F20"/>
        </w:rPr>
        <w:t>an installment sale, land sales contract,</w:t>
      </w:r>
      <w:r>
        <w:rPr>
          <w:color w:val="231F20"/>
          <w:spacing w:val="40"/>
        </w:rPr>
        <w:t> </w:t>
      </w:r>
      <w:r>
        <w:rPr>
          <w:color w:val="231F20"/>
        </w:rPr>
        <w:t>a credit sale or</w:t>
      </w:r>
      <w:r>
        <w:rPr>
          <w:color w:val="231F20"/>
          <w:spacing w:val="40"/>
        </w:rPr>
        <w:t> </w:t>
      </w:r>
      <w:r>
        <w:rPr>
          <w:color w:val="231F20"/>
        </w:rPr>
        <w:t>an owner-will-carry sale.</w:t>
      </w:r>
    </w:p>
    <w:p>
      <w:pPr>
        <w:pStyle w:val="BodyText"/>
        <w:ind w:left="459"/>
        <w:jc w:val="both"/>
      </w:pPr>
      <w:r>
        <w:rPr>
          <w:color w:val="231F20"/>
        </w:rPr>
        <w:t>In carryback financing sales, the seller receives a note</w:t>
      </w:r>
      <w:r>
        <w:rPr>
          <w:color w:val="231F20"/>
          <w:spacing w:val="80"/>
        </w:rPr>
        <w:t> </w:t>
      </w:r>
      <w:r>
        <w:rPr>
          <w:color w:val="231F20"/>
        </w:rPr>
        <w:t>and trust deed executed by the buyer and secured by the property</w:t>
      </w:r>
      <w:r>
        <w:rPr>
          <w:color w:val="231F20"/>
          <w:spacing w:val="-12"/>
        </w:rPr>
        <w:t> </w:t>
      </w:r>
      <w:r>
        <w:rPr>
          <w:color w:val="231F20"/>
        </w:rPr>
        <w:t>sold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evidence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debt</w:t>
      </w:r>
      <w:r>
        <w:rPr>
          <w:color w:val="231F20"/>
          <w:spacing w:val="-12"/>
        </w:rPr>
        <w:t> </w:t>
      </w:r>
      <w:r>
        <w:rPr>
          <w:color w:val="231F20"/>
        </w:rPr>
        <w:t>owed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seller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part</w:t>
      </w:r>
      <w:r>
        <w:rPr>
          <w:color w:val="231F20"/>
          <w:spacing w:val="-12"/>
        </w:rPr>
        <w:t> </w:t>
      </w:r>
      <w:r>
        <w:rPr>
          <w:color w:val="231F20"/>
        </w:rPr>
        <w:t>of the purchase price.</w:t>
      </w:r>
    </w:p>
    <w:p>
      <w:pPr>
        <w:pStyle w:val="BodyText"/>
        <w:ind w:left="459"/>
        <w:jc w:val="both"/>
      </w:pPr>
      <w:r>
        <w:rPr>
          <w:color w:val="231F20"/>
        </w:rPr>
        <w:t>The amount of the debt owed on the sale is the remainder of the price due to the seller after deducting: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90" w:after="0"/>
        <w:ind w:left="818" w:right="0" w:hanging="359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down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payment;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5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0" w:after="0"/>
        <w:ind w:left="819" w:right="0" w:hanging="360"/>
        <w:jc w:val="both"/>
        <w:rPr>
          <w:sz w:val="20"/>
        </w:rPr>
      </w:pPr>
      <w:r>
        <w:rPr>
          <w:color w:val="231F20"/>
          <w:sz w:val="20"/>
        </w:rPr>
        <w:t>the amount of any existing or new mortgage obtained by the buyer.</w:t>
      </w:r>
    </w:p>
    <w:p>
      <w:pPr>
        <w:pStyle w:val="BodyText"/>
        <w:ind w:left="459"/>
      </w:pPr>
      <w:r>
        <w:rPr>
          <w:color w:val="231F20"/>
        </w:rPr>
        <w:t>On closing, the seller takes on the rights and obligations</w:t>
      </w:r>
      <w:r>
        <w:rPr>
          <w:color w:val="231F20"/>
          <w:spacing w:val="40"/>
        </w:rPr>
        <w:t> </w:t>
      </w:r>
      <w:r>
        <w:rPr>
          <w:color w:val="231F20"/>
        </w:rPr>
        <w:t>akin to a mortgage lender.</w:t>
      </w:r>
    </w:p>
    <w:p>
      <w:pPr>
        <w:pStyle w:val="BodyText"/>
        <w:ind w:left="459"/>
      </w:pPr>
      <w:r>
        <w:rPr>
          <w:color w:val="231F20"/>
        </w:rPr>
        <w:t>The buyer’s tangible benefits from seller financing arising out of purchase offer negotiations include: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0" w:after="0"/>
        <w:ind w:left="819" w:right="0" w:hanging="360"/>
        <w:jc w:val="lef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moderate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down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payment;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0" w:after="0"/>
        <w:ind w:left="819" w:right="0" w:hanging="360"/>
        <w:jc w:val="lef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competitive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interest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rate;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0" w:after="0"/>
        <w:ind w:left="819" w:right="0" w:hanging="360"/>
        <w:jc w:val="left"/>
        <w:rPr>
          <w:sz w:val="20"/>
        </w:rPr>
      </w:pPr>
      <w:r>
        <w:rPr>
          <w:color w:val="231F20"/>
          <w:sz w:val="20"/>
        </w:rPr>
        <w:t>less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stringent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terms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qualification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documentation than imposed by mortgage lenders; and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0" w:after="0"/>
        <w:ind w:left="819" w:right="0" w:hanging="360"/>
        <w:jc w:val="left"/>
        <w:rPr>
          <w:sz w:val="20"/>
        </w:rPr>
      </w:pPr>
      <w:r>
        <w:rPr>
          <w:color w:val="231F20"/>
          <w:sz w:val="20"/>
        </w:rPr>
        <w:t>no origination costs, extra title insurance premiums or lender processing hassles.</w:t>
      </w:r>
    </w:p>
    <w:p>
      <w:pPr>
        <w:pStyle w:val="BodyText"/>
        <w:spacing w:before="94"/>
        <w:ind w:left="319" w:right="465"/>
      </w:pPr>
      <w:r>
        <w:rPr/>
        <w:br w:type="column"/>
      </w:r>
      <w:r>
        <w:rPr>
          <w:color w:val="231F20"/>
        </w:rPr>
        <w:t>In contrast, mortgage lenders automatically require a minimum down payment of 20% if the buyer is to avoid private mortgage insurance (PMI) or an additional risk premium rate charged by the lender. Further, Federal Housing</w:t>
      </w:r>
      <w:r>
        <w:rPr>
          <w:color w:val="231F20"/>
          <w:spacing w:val="-14"/>
        </w:rPr>
        <w:t> </w:t>
      </w:r>
      <w:r>
        <w:rPr>
          <w:color w:val="231F20"/>
        </w:rPr>
        <w:t>Administration</w:t>
      </w:r>
      <w:r>
        <w:rPr>
          <w:color w:val="231F20"/>
          <w:spacing w:val="-12"/>
        </w:rPr>
        <w:t> </w:t>
      </w:r>
      <w:r>
        <w:rPr>
          <w:color w:val="231F20"/>
        </w:rPr>
        <w:t>(FHA)-insured</w:t>
      </w:r>
      <w:r>
        <w:rPr>
          <w:color w:val="231F20"/>
          <w:spacing w:val="-9"/>
        </w:rPr>
        <w:t> </w:t>
      </w:r>
      <w:r>
        <w:rPr>
          <w:color w:val="231F20"/>
        </w:rPr>
        <w:t>mortgages</w:t>
      </w:r>
      <w:r>
        <w:rPr>
          <w:color w:val="231F20"/>
          <w:spacing w:val="-9"/>
        </w:rPr>
        <w:t> </w:t>
      </w:r>
      <w:r>
        <w:rPr>
          <w:color w:val="231F20"/>
        </w:rPr>
        <w:t>include</w:t>
      </w:r>
      <w:r>
        <w:rPr>
          <w:color w:val="231F20"/>
          <w:spacing w:val="-9"/>
        </w:rPr>
        <w:t> </w:t>
      </w:r>
      <w:r>
        <w:rPr>
          <w:color w:val="231F20"/>
        </w:rPr>
        <w:t>a mortgage</w:t>
      </w:r>
      <w:r>
        <w:rPr>
          <w:color w:val="231F20"/>
          <w:spacing w:val="-3"/>
        </w:rPr>
        <w:t> </w:t>
      </w:r>
      <w:r>
        <w:rPr>
          <w:color w:val="231F20"/>
        </w:rPr>
        <w:t>insurance</w:t>
      </w:r>
      <w:r>
        <w:rPr>
          <w:color w:val="231F20"/>
          <w:spacing w:val="-3"/>
        </w:rPr>
        <w:t> </w:t>
      </w:r>
      <w:r>
        <w:rPr>
          <w:color w:val="231F20"/>
        </w:rPr>
        <w:t>premium</w:t>
      </w:r>
      <w:r>
        <w:rPr>
          <w:color w:val="231F20"/>
          <w:spacing w:val="-3"/>
        </w:rPr>
        <w:t> </w:t>
      </w:r>
      <w:r>
        <w:rPr>
          <w:color w:val="231F20"/>
        </w:rPr>
        <w:t>(MIP)</w:t>
      </w:r>
      <w:r>
        <w:rPr>
          <w:color w:val="231F20"/>
          <w:spacing w:val="-3"/>
        </w:rPr>
        <w:t> </w:t>
      </w:r>
      <w:r>
        <w:rPr>
          <w:color w:val="231F20"/>
        </w:rPr>
        <w:t>regardless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loan- to-value (LTV).</w:t>
      </w:r>
    </w:p>
    <w:p>
      <w:pPr>
        <w:pStyle w:val="BodyText"/>
        <w:ind w:left="319" w:right="457"/>
        <w:jc w:val="both"/>
      </w:pP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amount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down</w:t>
      </w:r>
      <w:r>
        <w:rPr>
          <w:color w:val="231F20"/>
          <w:spacing w:val="-13"/>
        </w:rPr>
        <w:t> </w:t>
      </w:r>
      <w:r>
        <w:rPr>
          <w:color w:val="231F20"/>
        </w:rPr>
        <w:t>payment,</w:t>
      </w:r>
      <w:r>
        <w:rPr>
          <w:color w:val="231F20"/>
          <w:spacing w:val="-13"/>
        </w:rPr>
        <w:t> </w:t>
      </w:r>
      <w:r>
        <w:rPr>
          <w:color w:val="231F20"/>
        </w:rPr>
        <w:t>interest</w:t>
      </w:r>
      <w:r>
        <w:rPr>
          <w:color w:val="231F20"/>
          <w:spacing w:val="-13"/>
        </w:rPr>
        <w:t> </w:t>
      </w:r>
      <w:r>
        <w:rPr>
          <w:color w:val="231F20"/>
        </w:rPr>
        <w:t>rate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monthly payment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negotiable</w:t>
      </w:r>
      <w:r>
        <w:rPr>
          <w:color w:val="231F20"/>
          <w:spacing w:val="-10"/>
        </w:rPr>
        <w:t> </w:t>
      </w:r>
      <w:r>
        <w:rPr>
          <w:color w:val="231F20"/>
        </w:rPr>
        <w:t>between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buyer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seller</w:t>
      </w:r>
      <w:r>
        <w:rPr>
          <w:color w:val="231F20"/>
          <w:spacing w:val="-10"/>
        </w:rPr>
        <w:t> </w:t>
      </w:r>
      <w:r>
        <w:rPr>
          <w:color w:val="231F20"/>
        </w:rPr>
        <w:t>without the outside influences a mortgage lender automatically requires a buyer to agree to.</w:t>
      </w:r>
    </w:p>
    <w:p>
      <w:pPr>
        <w:pStyle w:val="BodyText"/>
        <w:ind w:left="319" w:right="457"/>
        <w:jc w:val="both"/>
      </w:pPr>
      <w:r>
        <w:rPr>
          <w:color w:val="231F20"/>
        </w:rPr>
        <w:t>Taxwise, a seller may prefer to carry back a portion of the sales price, rather than cash out when taking a significant taxable profit on the disposition of an investment property.</w:t>
      </w:r>
    </w:p>
    <w:p>
      <w:pPr>
        <w:pStyle w:val="BodyText"/>
        <w:ind w:left="319" w:right="457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seller,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reportable</w:t>
      </w:r>
      <w:r>
        <w:rPr>
          <w:color w:val="231F20"/>
          <w:spacing w:val="-7"/>
        </w:rPr>
        <w:t> </w:t>
      </w:r>
      <w:r>
        <w:rPr>
          <w:color w:val="231F20"/>
        </w:rPr>
        <w:t>profit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sale,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able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defer payment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substantial</w:t>
      </w:r>
      <w:r>
        <w:rPr>
          <w:color w:val="231F20"/>
          <w:spacing w:val="-11"/>
        </w:rPr>
        <w:t> </w:t>
      </w:r>
      <w:r>
        <w:rPr>
          <w:color w:val="231F20"/>
        </w:rPr>
        <w:t>portion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</w:rPr>
        <w:t>profit</w:t>
      </w:r>
      <w:r>
        <w:rPr>
          <w:color w:val="231F20"/>
          <w:spacing w:val="-11"/>
        </w:rPr>
        <w:t> </w:t>
      </w:r>
      <w:r>
        <w:rPr>
          <w:color w:val="231F20"/>
        </w:rPr>
        <w:t>taxes</w:t>
      </w:r>
      <w:r>
        <w:rPr>
          <w:color w:val="231F20"/>
          <w:spacing w:val="-11"/>
        </w:rPr>
        <w:t> </w:t>
      </w:r>
      <w:r>
        <w:rPr>
          <w:color w:val="231F20"/>
        </w:rPr>
        <w:t>until</w:t>
      </w:r>
      <w:r>
        <w:rPr>
          <w:color w:val="231F20"/>
          <w:spacing w:val="-11"/>
        </w:rPr>
        <w:t> </w:t>
      </w:r>
      <w:r>
        <w:rPr>
          <w:color w:val="231F20"/>
        </w:rPr>
        <w:t>the principal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received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buyer.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seller</w:t>
      </w:r>
      <w:r>
        <w:rPr>
          <w:color w:val="231F20"/>
          <w:spacing w:val="-6"/>
        </w:rPr>
        <w:t> </w:t>
      </w:r>
      <w:r>
        <w:rPr>
          <w:color w:val="231F20"/>
        </w:rPr>
        <w:t>avoids the profit tax bite in the year of the sale, the seller earns interest</w:t>
      </w:r>
      <w:r>
        <w:rPr>
          <w:color w:val="231F20"/>
          <w:spacing w:val="-14"/>
        </w:rPr>
        <w:t> </w:t>
      </w:r>
      <w:r>
        <w:rPr>
          <w:color w:val="231F20"/>
        </w:rPr>
        <w:t>on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portion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principal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their</w:t>
      </w:r>
      <w:r>
        <w:rPr>
          <w:color w:val="231F20"/>
          <w:spacing w:val="-13"/>
        </w:rPr>
        <w:t> </w:t>
      </w:r>
      <w:r>
        <w:rPr>
          <w:color w:val="231F20"/>
        </w:rPr>
        <w:t>carryback</w:t>
      </w:r>
      <w:r>
        <w:rPr>
          <w:color w:val="231F20"/>
          <w:spacing w:val="-14"/>
        </w:rPr>
        <w:t> </w:t>
      </w:r>
      <w:r>
        <w:rPr>
          <w:color w:val="231F20"/>
        </w:rPr>
        <w:t>note that represents the tax deferred to future years when the principal is received.</w:t>
      </w:r>
    </w:p>
    <w:p>
      <w:pPr>
        <w:pStyle w:val="BodyText"/>
        <w:ind w:left="319" w:right="457"/>
        <w:jc w:val="both"/>
      </w:pPr>
      <w:r>
        <w:rPr>
          <w:color w:val="231F20"/>
        </w:rPr>
        <w:t>When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seller</w:t>
      </w:r>
      <w:r>
        <w:rPr>
          <w:color w:val="231F20"/>
          <w:spacing w:val="40"/>
        </w:rPr>
        <w:t> </w:t>
      </w:r>
      <w:r>
        <w:rPr>
          <w:color w:val="231F20"/>
        </w:rPr>
        <w:t>does</w:t>
      </w:r>
      <w:r>
        <w:rPr>
          <w:color w:val="231F20"/>
          <w:spacing w:val="40"/>
        </w:rPr>
        <w:t> </w:t>
      </w:r>
      <w:r>
        <w:rPr>
          <w:color w:val="231F20"/>
        </w:rPr>
        <w:t>not</w:t>
      </w:r>
      <w:r>
        <w:rPr>
          <w:color w:val="231F20"/>
          <w:spacing w:val="40"/>
        </w:rPr>
        <w:t> </w:t>
      </w:r>
      <w:r>
        <w:rPr>
          <w:color w:val="231F20"/>
        </w:rPr>
        <w:t>carry</w:t>
      </w:r>
      <w:r>
        <w:rPr>
          <w:color w:val="231F20"/>
          <w:spacing w:val="40"/>
        </w:rPr>
        <w:t> </w:t>
      </w:r>
      <w:r>
        <w:rPr>
          <w:color w:val="231F20"/>
        </w:rPr>
        <w:t>back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note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cashes out, they will pay their profit taxes in the year of the sale, unless the profit is exempt or excluded from taxation, such as</w:t>
      </w:r>
      <w:r>
        <w:rPr>
          <w:color w:val="231F20"/>
          <w:spacing w:val="5"/>
        </w:rPr>
        <w:t> </w:t>
      </w:r>
      <w:r>
        <w:rPr>
          <w:color w:val="231F20"/>
        </w:rPr>
        <w:t>occurs</w:t>
      </w:r>
      <w:r>
        <w:rPr>
          <w:color w:val="231F20"/>
          <w:spacing w:val="8"/>
        </w:rPr>
        <w:t> </w:t>
      </w:r>
      <w:r>
        <w:rPr>
          <w:color w:val="231F20"/>
        </w:rPr>
        <w:t>with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principal</w:t>
      </w:r>
      <w:r>
        <w:rPr>
          <w:color w:val="231F20"/>
          <w:spacing w:val="8"/>
        </w:rPr>
        <w:t> </w:t>
      </w:r>
      <w:r>
        <w:rPr>
          <w:color w:val="231F20"/>
        </w:rPr>
        <w:t>residence</w:t>
      </w:r>
      <w:r>
        <w:rPr>
          <w:color w:val="231F20"/>
          <w:spacing w:val="8"/>
        </w:rPr>
        <w:t> </w:t>
      </w:r>
      <w:r>
        <w:rPr>
          <w:color w:val="231F20"/>
        </w:rPr>
        <w:t>profit</w:t>
      </w:r>
      <w:r>
        <w:rPr>
          <w:color w:val="231F20"/>
          <w:spacing w:val="8"/>
        </w:rPr>
        <w:t> </w:t>
      </w:r>
      <w:r>
        <w:rPr>
          <w:color w:val="231F20"/>
        </w:rPr>
        <w:t>exclusion</w:t>
      </w:r>
      <w:r>
        <w:rPr>
          <w:color w:val="231F20"/>
          <w:spacing w:val="8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0"/>
        </w:rPr>
        <w:t>a</w:t>
      </w:r>
    </w:p>
    <w:p>
      <w:pPr>
        <w:pStyle w:val="BodyText"/>
        <w:spacing w:before="0"/>
        <w:ind w:left="319"/>
        <w:jc w:val="both"/>
      </w:pPr>
      <w:r>
        <w:rPr>
          <w:color w:val="231F20"/>
        </w:rPr>
        <w:t>§1031</w:t>
      </w:r>
      <w:r>
        <w:rPr>
          <w:color w:val="231F20"/>
          <w:spacing w:val="-4"/>
        </w:rPr>
        <w:t> </w:t>
      </w:r>
      <w:r>
        <w:rPr>
          <w:color w:val="231F20"/>
        </w:rPr>
        <w:t>tax-exempt</w:t>
      </w:r>
      <w:r>
        <w:rPr>
          <w:color w:val="231F20"/>
          <w:spacing w:val="-2"/>
        </w:rPr>
        <w:t> transaction.</w:t>
      </w:r>
    </w:p>
    <w:p>
      <w:pPr>
        <w:spacing w:after="0"/>
        <w:jc w:val="both"/>
        <w:sectPr>
          <w:type w:val="continuous"/>
          <w:pgSz w:w="12240" w:h="15840"/>
          <w:pgMar w:top="74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71"/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13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98071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13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138" w:right="5720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277482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21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74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1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81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2024-09-08T23:18:38Z</dcterms:created>
  <dcterms:modified xsi:type="dcterms:W3CDTF">2024-09-08T23:18:38Z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