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819655"/>
                            <a:ext cx="7315200" cy="83566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02"/>
                                <w:ind w:left="86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my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selling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costs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going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5"/>
                                  <w:w w:val="110"/>
                                  <w:sz w:val="46"/>
                                </w:rPr>
                                <w:t>be?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1" coordorigin="0,0" coordsize="11520,4637">
                <v:shape style="position:absolute;left:0;top:0;width:11520;height:463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865;width:11520;height:1316" type="#_x0000_t202" id="docshape3" filled="true" fillcolor="#d2232a" stroked="false">
                  <v:textbox inset="0,0,0,0">
                    <w:txbxContent>
                      <w:p>
                        <w:pPr>
                          <w:spacing w:before="402"/>
                          <w:ind w:left="86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are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my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selling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costs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going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w w:val="110"/>
                            <w:sz w:val="46"/>
                          </w:rPr>
                          <w:t>be?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21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tabs>
          <w:tab w:pos="1584" w:val="left" w:leader="none"/>
          <w:tab w:pos="2292" w:val="left" w:leader="none"/>
          <w:tab w:pos="2733" w:val="left" w:leader="none"/>
          <w:tab w:pos="3729" w:val="left" w:leader="none"/>
          <w:tab w:pos="4682" w:val="left" w:leader="none"/>
          <w:tab w:pos="5401" w:val="left" w:leader="none"/>
        </w:tabs>
        <w:spacing w:before="94"/>
        <w:ind w:left="459" w:firstLine="69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25460</wp:posOffset>
                </wp:positionV>
                <wp:extent cx="349885" cy="3702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.004771pt;width:27.55pt;height:29.15pt;mso-position-horizontal-relative:page;mso-position-vertical-relative:paragraph;z-index:15730176" type="#_x0000_t202" id="docshape4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6"/>
        </w:rPr>
        <w:t>To</w:t>
      </w:r>
      <w:r>
        <w:rPr>
          <w:color w:val="231F20"/>
        </w:rPr>
        <w:tab/>
      </w:r>
      <w:r>
        <w:rPr>
          <w:color w:val="231F20"/>
          <w:spacing w:val="-4"/>
        </w:rPr>
        <w:t>make</w:t>
      </w:r>
      <w:r>
        <w:rPr>
          <w:color w:val="231F20"/>
        </w:rPr>
        <w:tab/>
      </w:r>
      <w:r>
        <w:rPr>
          <w:color w:val="231F20"/>
          <w:spacing w:val="-6"/>
        </w:rPr>
        <w:t>an</w:t>
      </w:r>
      <w:r>
        <w:rPr>
          <w:color w:val="231F20"/>
        </w:rPr>
        <w:tab/>
      </w:r>
      <w:r>
        <w:rPr>
          <w:color w:val="231F20"/>
          <w:spacing w:val="-2"/>
        </w:rPr>
        <w:t>informed</w:t>
      </w:r>
      <w:r>
        <w:rPr>
          <w:color w:val="231F20"/>
        </w:rPr>
        <w:tab/>
      </w:r>
      <w:r>
        <w:rPr>
          <w:color w:val="231F20"/>
          <w:spacing w:val="-2"/>
        </w:rPr>
        <w:t>decision</w:t>
      </w:r>
      <w:r>
        <w:rPr>
          <w:color w:val="231F20"/>
        </w:rPr>
        <w:tab/>
      </w:r>
      <w:r>
        <w:rPr>
          <w:color w:val="231F20"/>
          <w:spacing w:val="-2"/>
        </w:rPr>
        <w:t>about</w:t>
      </w:r>
      <w:r>
        <w:rPr>
          <w:color w:val="231F20"/>
        </w:rPr>
        <w:tab/>
      </w:r>
      <w:r>
        <w:rPr>
          <w:color w:val="231F20"/>
          <w:spacing w:val="-4"/>
        </w:rPr>
        <w:t>the </w:t>
      </w:r>
      <w:r>
        <w:rPr>
          <w:color w:val="231F20"/>
        </w:rPr>
        <w:t>arrangements</w:t>
      </w:r>
      <w:r>
        <w:rPr>
          <w:color w:val="231F20"/>
          <w:spacing w:val="80"/>
        </w:rPr>
        <w:t> </w:t>
      </w:r>
      <w:r>
        <w:rPr>
          <w:color w:val="231F20"/>
        </w:rPr>
        <w:t>and</w:t>
      </w:r>
      <w:r>
        <w:rPr>
          <w:color w:val="231F20"/>
          <w:spacing w:val="80"/>
        </w:rPr>
        <w:t> </w:t>
      </w:r>
      <w:r>
        <w:rPr>
          <w:color w:val="231F20"/>
        </w:rPr>
        <w:t>conditions</w:t>
      </w:r>
      <w:r>
        <w:rPr>
          <w:color w:val="231F20"/>
          <w:spacing w:val="80"/>
        </w:rPr>
        <w:t> </w:t>
      </w:r>
      <w:r>
        <w:rPr>
          <w:color w:val="231F20"/>
        </w:rPr>
        <w:t>for</w:t>
      </w:r>
      <w:r>
        <w:rPr>
          <w:color w:val="231F20"/>
          <w:spacing w:val="80"/>
        </w:rPr>
        <w:t> </w:t>
      </w:r>
      <w:r>
        <w:rPr>
          <w:color w:val="231F20"/>
        </w:rPr>
        <w:t>selling</w:t>
      </w:r>
      <w:r>
        <w:rPr>
          <w:color w:val="231F20"/>
          <w:spacing w:val="80"/>
        </w:rPr>
        <w:t> </w:t>
      </w:r>
      <w:r>
        <w:rPr>
          <w:color w:val="231F20"/>
        </w:rPr>
        <w:t>your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property, you need to know the costs you will incur on a</w:t>
      </w:r>
      <w:r>
        <w:rPr>
          <w:color w:val="231F20"/>
          <w:spacing w:val="80"/>
        </w:rPr>
        <w:t> </w:t>
      </w:r>
      <w:r>
        <w:rPr>
          <w:color w:val="231F20"/>
        </w:rPr>
        <w:t>sale.</w:t>
      </w:r>
      <w:r>
        <w:rPr>
          <w:color w:val="231F20"/>
          <w:spacing w:val="40"/>
        </w:rPr>
        <w:t> </w:t>
      </w:r>
      <w:r>
        <w:rPr>
          <w:color w:val="231F20"/>
        </w:rPr>
        <w:t>Selling</w:t>
      </w:r>
      <w:r>
        <w:rPr>
          <w:color w:val="231F20"/>
          <w:spacing w:val="40"/>
        </w:rPr>
        <w:t> </w:t>
      </w:r>
      <w:r>
        <w:rPr>
          <w:color w:val="231F20"/>
        </w:rPr>
        <w:t>costs</w:t>
      </w:r>
      <w:r>
        <w:rPr>
          <w:color w:val="231F20"/>
          <w:spacing w:val="40"/>
        </w:rPr>
        <w:t> </w:t>
      </w:r>
      <w:r>
        <w:rPr>
          <w:color w:val="231F20"/>
        </w:rPr>
        <w:t>consume</w:t>
      </w:r>
      <w:r>
        <w:rPr>
          <w:color w:val="231F20"/>
          <w:spacing w:val="40"/>
        </w:rPr>
        <w:t> </w:t>
      </w:r>
      <w:r>
        <w:rPr>
          <w:color w:val="231F20"/>
        </w:rPr>
        <w:t>some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price</w:t>
      </w:r>
      <w:r>
        <w:rPr>
          <w:color w:val="231F20"/>
          <w:spacing w:val="40"/>
        </w:rPr>
        <w:t> </w:t>
      </w:r>
      <w:r>
        <w:rPr>
          <w:color w:val="231F20"/>
        </w:rPr>
        <w:t>you</w:t>
      </w:r>
      <w:r>
        <w:rPr>
          <w:color w:val="231F20"/>
          <w:spacing w:val="40"/>
        </w:rPr>
        <w:t> </w:t>
      </w:r>
      <w:r>
        <w:rPr>
          <w:color w:val="231F20"/>
        </w:rPr>
        <w:t>will receive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thus</w:t>
      </w:r>
      <w:r>
        <w:rPr>
          <w:color w:val="231F20"/>
          <w:spacing w:val="7"/>
        </w:rPr>
        <w:t> </w:t>
      </w:r>
      <w:r>
        <w:rPr>
          <w:color w:val="231F20"/>
        </w:rPr>
        <w:t>reduce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amount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net</w:t>
      </w:r>
      <w:r>
        <w:rPr>
          <w:color w:val="231F20"/>
          <w:spacing w:val="6"/>
        </w:rPr>
        <w:t> </w:t>
      </w:r>
      <w:r>
        <w:rPr>
          <w:color w:val="231F20"/>
        </w:rPr>
        <w:t>sales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proceeds</w:t>
      </w:r>
    </w:p>
    <w:p>
      <w:pPr>
        <w:pStyle w:val="BodyText"/>
        <w:ind w:left="459"/>
      </w:pP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closing.</w:t>
      </w:r>
    </w:p>
    <w:p>
      <w:pPr>
        <w:pStyle w:val="BodyText"/>
        <w:spacing w:before="200"/>
        <w:ind w:left="459"/>
      </w:pPr>
      <w:r>
        <w:rPr>
          <w:color w:val="231F20"/>
        </w:rPr>
        <w:t>Selling</w:t>
      </w:r>
      <w:r>
        <w:rPr>
          <w:color w:val="231F20"/>
          <w:spacing w:val="-7"/>
        </w:rPr>
        <w:t> </w:t>
      </w:r>
      <w:r>
        <w:rPr>
          <w:color w:val="231F20"/>
        </w:rPr>
        <w:t>costs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likely</w:t>
      </w:r>
      <w:r>
        <w:rPr>
          <w:color w:val="231F20"/>
          <w:spacing w:val="-7"/>
        </w:rPr>
        <w:t> </w:t>
      </w:r>
      <w:r>
        <w:rPr>
          <w:color w:val="231F20"/>
        </w:rPr>
        <w:t>incur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preparation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sale of your property include: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200" w:after="0"/>
        <w:ind w:left="999" w:right="0" w:hanging="270"/>
        <w:jc w:val="both"/>
        <w:rPr>
          <w:sz w:val="20"/>
        </w:rPr>
      </w:pPr>
      <w:r>
        <w:rPr>
          <w:i/>
          <w:color w:val="231F20"/>
          <w:sz w:val="20"/>
        </w:rPr>
        <w:t>Home inspection report (HIR)</w:t>
      </w:r>
      <w:r>
        <w:rPr>
          <w:color w:val="231F20"/>
          <w:sz w:val="20"/>
        </w:rPr>
        <w:t>: The fee a home inspection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company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charges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conduct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inspection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property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provide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an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HIR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you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use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properly </w:t>
      </w:r>
      <w:r>
        <w:rPr>
          <w:color w:val="231F20"/>
          <w:sz w:val="20"/>
        </w:rPr>
        <w:t>prepare your transfer disclosure statement (TDS) your agent hands to prospective buyers.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90" w:after="0"/>
        <w:ind w:left="999" w:right="0" w:hanging="270"/>
        <w:jc w:val="both"/>
        <w:rPr>
          <w:sz w:val="20"/>
        </w:rPr>
      </w:pPr>
      <w:r>
        <w:rPr>
          <w:i/>
          <w:color w:val="231F20"/>
          <w:sz w:val="20"/>
        </w:rPr>
        <w:t>Structural pest control report and clearance</w:t>
      </w:r>
      <w:r>
        <w:rPr>
          <w:color w:val="231F20"/>
          <w:sz w:val="20"/>
        </w:rPr>
        <w:t>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The fee 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pest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control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operator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charges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inspect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submit a report on their findings and the costs of repairs necessary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eliminate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infestation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repair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any existing damage or condition allowing for infestation.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90" w:after="0"/>
        <w:ind w:left="999" w:right="0" w:hanging="270"/>
        <w:jc w:val="both"/>
        <w:rPr>
          <w:sz w:val="20"/>
        </w:rPr>
      </w:pPr>
      <w:r>
        <w:rPr>
          <w:i/>
          <w:color w:val="231F20"/>
          <w:sz w:val="20"/>
        </w:rPr>
        <w:t>Compliance with local ordinances</w:t>
      </w:r>
      <w:r>
        <w:rPr>
          <w:color w:val="231F20"/>
          <w:sz w:val="20"/>
        </w:rPr>
        <w:t>: The costs associated with retrofitting, curative permits and any repairs necessary to meet local ordinance standards as a requisite to a change in ownership.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91" w:after="0"/>
        <w:ind w:left="999" w:right="0" w:hanging="270"/>
        <w:jc w:val="both"/>
        <w:rPr>
          <w:sz w:val="20"/>
        </w:rPr>
      </w:pPr>
      <w:r>
        <w:rPr>
          <w:i/>
          <w:color w:val="231F20"/>
          <w:sz w:val="20"/>
        </w:rPr>
        <w:t>Natural Hazard Disclosure (NHD) report</w:t>
      </w:r>
      <w:r>
        <w:rPr>
          <w:color w:val="231F20"/>
          <w:sz w:val="20"/>
        </w:rPr>
        <w:t>: The fee charged by a third party for a review of the county records and the preparation and submission of an NHD report on the natural hazards affecting the property due to its location.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94" w:after="0"/>
        <w:ind w:left="859" w:right="458" w:hanging="270"/>
        <w:jc w:val="both"/>
        <w:rPr>
          <w:sz w:val="20"/>
        </w:rPr>
      </w:pPr>
      <w:r>
        <w:rPr/>
        <w:br w:type="column"/>
      </w:r>
      <w:r>
        <w:rPr>
          <w:i/>
          <w:color w:val="231F20"/>
          <w:sz w:val="20"/>
        </w:rPr>
        <w:t>Smoke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detector/water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heater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safety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compliance</w:t>
      </w:r>
      <w:r>
        <w:rPr>
          <w:color w:val="231F20"/>
          <w:sz w:val="20"/>
        </w:rPr>
        <w:t>: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 costs incurred to install smoke detectors and water heater bracing to comply with local ordinances.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90" w:after="0"/>
        <w:ind w:left="859" w:right="458" w:hanging="270"/>
        <w:jc w:val="both"/>
        <w:rPr>
          <w:sz w:val="20"/>
        </w:rPr>
      </w:pPr>
      <w:r>
        <w:rPr>
          <w:i/>
          <w:color w:val="231F20"/>
          <w:sz w:val="20"/>
        </w:rPr>
        <w:t>Home warranty insurance</w:t>
      </w:r>
      <w:r>
        <w:rPr>
          <w:color w:val="231F20"/>
          <w:sz w:val="20"/>
        </w:rPr>
        <w:t>: The premium charged by 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home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warranty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insurance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company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issue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policy to the buyer.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90" w:after="0"/>
        <w:ind w:left="859" w:right="458" w:hanging="270"/>
        <w:jc w:val="both"/>
        <w:rPr>
          <w:sz w:val="20"/>
        </w:rPr>
      </w:pPr>
      <w:r>
        <w:rPr>
          <w:i/>
          <w:color w:val="231F20"/>
          <w:sz w:val="20"/>
        </w:rPr>
        <w:t>Escrow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fee</w:t>
      </w:r>
      <w:r>
        <w:rPr>
          <w:color w:val="231F20"/>
          <w:sz w:val="20"/>
        </w:rPr>
        <w:t>: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amount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charged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escrow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services to process the closing of the sale.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90" w:after="0"/>
        <w:ind w:left="859" w:right="458" w:hanging="270"/>
        <w:jc w:val="both"/>
        <w:rPr>
          <w:sz w:val="20"/>
        </w:rPr>
      </w:pPr>
      <w:r>
        <w:rPr>
          <w:i/>
          <w:color w:val="231F20"/>
          <w:sz w:val="20"/>
        </w:rPr>
        <w:t>Recording fees/documentary transfer tax</w:t>
      </w:r>
      <w:r>
        <w:rPr>
          <w:color w:val="231F20"/>
          <w:sz w:val="20"/>
        </w:rPr>
        <w:t>: The combined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recording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fees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transfer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taxes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collected by the county recorder to convey title.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90" w:after="0"/>
        <w:ind w:left="859" w:right="458" w:hanging="270"/>
        <w:jc w:val="both"/>
        <w:rPr>
          <w:sz w:val="20"/>
        </w:rPr>
      </w:pPr>
      <w:r>
        <w:rPr>
          <w:i/>
          <w:color w:val="231F20"/>
          <w:sz w:val="20"/>
        </w:rPr>
        <w:t>Title insurance premium</w:t>
      </w:r>
      <w:r>
        <w:rPr>
          <w:color w:val="231F20"/>
          <w:sz w:val="20"/>
        </w:rPr>
        <w:t>: The premium the title insurance company charges to issue a policy of title insurance on your conveyance of the property.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90" w:after="0"/>
        <w:ind w:left="859" w:right="458" w:hanging="270"/>
        <w:jc w:val="both"/>
        <w:rPr>
          <w:sz w:val="20"/>
        </w:rPr>
      </w:pPr>
      <w:r>
        <w:rPr>
          <w:i/>
          <w:color w:val="231F20"/>
          <w:sz w:val="20"/>
        </w:rPr>
        <w:t>Reconveyance fees</w:t>
      </w:r>
      <w:r>
        <w:rPr>
          <w:color w:val="231F20"/>
          <w:sz w:val="20"/>
        </w:rPr>
        <w:t>: The reconveyance fees and recording fees charged when your mortgage is paid off to release the mortgage liens from the record title to the property sold.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9" w:val="left" w:leader="none"/>
        </w:tabs>
        <w:spacing w:line="240" w:lineRule="auto" w:before="90" w:after="0"/>
        <w:ind w:left="859" w:right="458" w:hanging="271"/>
        <w:jc w:val="both"/>
        <w:rPr>
          <w:sz w:val="20"/>
        </w:rPr>
      </w:pPr>
      <w:r>
        <w:rPr>
          <w:i/>
          <w:color w:val="231F20"/>
          <w:sz w:val="20"/>
        </w:rPr>
        <w:t>Broker fees</w:t>
      </w:r>
      <w:r>
        <w:rPr>
          <w:color w:val="231F20"/>
          <w:sz w:val="20"/>
        </w:rPr>
        <w:t>: The fees earned by the transaction brokers and paid on the close of escrow for the sale of your property.</w:t>
      </w:r>
    </w:p>
    <w:p>
      <w:pPr>
        <w:pStyle w:val="BodyText"/>
        <w:spacing w:before="91"/>
        <w:ind w:left="319" w:right="457"/>
        <w:jc w:val="both"/>
      </w:pPr>
      <w:r>
        <w:rPr>
          <w:color w:val="231F20"/>
        </w:rPr>
        <w:t>Your agent estimates the expenses you are likely to incur on a sale of your property by preparing a </w:t>
      </w:r>
      <w:r>
        <w:rPr>
          <w:i/>
          <w:color w:val="231F20"/>
        </w:rPr>
        <w:t>seller’s net sales proceeds </w:t>
      </w:r>
      <w:r>
        <w:rPr>
          <w:color w:val="231F20"/>
        </w:rPr>
        <w:t>sheet and reviewing it with you when listing your property for sale and reviewing the merits of each offer received to buy your property.</w:t>
      </w:r>
    </w:p>
    <w:p>
      <w:pPr>
        <w:spacing w:after="0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113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98071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138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138" w:right="5720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163182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2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859" w:right="458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2024-09-08T23:30:10Z</dcterms:created>
  <dcterms:modified xsi:type="dcterms:W3CDTF">2024-09-08T23:30:10Z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