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00"/>
        <w:jc w:val="left"/>
        <w:rPr>
          <w:rFonts w:ascii="Times New Roman"/>
        </w:rPr>
      </w:pPr>
      <w:r>
        <w:rPr>
          <w:rFonts w:ascii="Times New Roman"/>
        </w:rPr>
        <mc:AlternateContent>
          <mc:Choice Requires="wps">
            <w:drawing>
              <wp:inline distT="0" distB="0" distL="0" distR="0">
                <wp:extent cx="6845300" cy="2814320"/>
                <wp:effectExtent l="0" t="0" r="0" b="5080"/>
                <wp:docPr id="1" name="Group 1"/>
                <wp:cNvGraphicFramePr>
                  <a:graphicFrameLocks/>
                </wp:cNvGraphicFramePr>
                <a:graphic>
                  <a:graphicData uri="http://schemas.microsoft.com/office/word/2010/wordprocessingGroup">
                    <wpg:wgp>
                      <wpg:cNvPr id="1" name="Group 1"/>
                      <wpg:cNvGrpSpPr/>
                      <wpg:grpSpPr>
                        <a:xfrm>
                          <a:off x="0" y="0"/>
                          <a:ext cx="6845300" cy="2814320"/>
                          <a:chExt cx="6845300" cy="2814320"/>
                        </a:xfrm>
                      </wpg:grpSpPr>
                      <pic:pic>
                        <pic:nvPicPr>
                          <pic:cNvPr id="2" name="Image 2"/>
                          <pic:cNvPicPr/>
                        </pic:nvPicPr>
                        <pic:blipFill>
                          <a:blip r:embed="rId5" cstate="print"/>
                          <a:stretch>
                            <a:fillRect/>
                          </a:stretch>
                        </pic:blipFill>
                        <pic:spPr>
                          <a:xfrm>
                            <a:off x="151130" y="0"/>
                            <a:ext cx="6694169" cy="2813811"/>
                          </a:xfrm>
                          <a:prstGeom prst="rect">
                            <a:avLst/>
                          </a:prstGeom>
                        </pic:spPr>
                      </pic:pic>
                      <wps:wsp>
                        <wps:cNvPr id="3" name="Graphic 3"/>
                        <wps:cNvSpPr/>
                        <wps:spPr>
                          <a:xfrm>
                            <a:off x="0" y="0"/>
                            <a:ext cx="4398645" cy="2814320"/>
                          </a:xfrm>
                          <a:custGeom>
                            <a:avLst/>
                            <a:gdLst/>
                            <a:ahLst/>
                            <a:cxnLst/>
                            <a:rect l="l" t="t" r="r" b="b"/>
                            <a:pathLst>
                              <a:path w="4398645" h="2814320">
                                <a:moveTo>
                                  <a:pt x="4398264" y="0"/>
                                </a:moveTo>
                                <a:lnTo>
                                  <a:pt x="1508760" y="0"/>
                                </a:lnTo>
                                <a:lnTo>
                                  <a:pt x="0" y="1698244"/>
                                </a:lnTo>
                                <a:lnTo>
                                  <a:pt x="0" y="2813812"/>
                                </a:lnTo>
                                <a:lnTo>
                                  <a:pt x="2172614" y="2813812"/>
                                </a:lnTo>
                                <a:lnTo>
                                  <a:pt x="4398264" y="0"/>
                                </a:lnTo>
                                <a:close/>
                              </a:path>
                            </a:pathLst>
                          </a:custGeom>
                          <a:solidFill>
                            <a:srgbClr val="0092C8">
                              <a:alpha val="79998"/>
                            </a:srgbClr>
                          </a:solidFill>
                        </wps:spPr>
                        <wps:bodyPr wrap="square" lIns="0" tIns="0" rIns="0" bIns="0" rtlCol="0">
                          <a:prstTxWarp prst="textNoShape">
                            <a:avLst/>
                          </a:prstTxWarp>
                          <a:noAutofit/>
                        </wps:bodyPr>
                      </wps:wsp>
                      <wps:wsp>
                        <wps:cNvPr id="4" name="Textbox 4"/>
                        <wps:cNvSpPr txBox="1"/>
                        <wps:spPr>
                          <a:xfrm>
                            <a:off x="0" y="0"/>
                            <a:ext cx="6845300" cy="2814320"/>
                          </a:xfrm>
                          <a:prstGeom prst="rect">
                            <a:avLst/>
                          </a:prstGeom>
                        </wps:spPr>
                        <wps:txbx>
                          <w:txbxContent>
                            <w:p>
                              <w:pPr>
                                <w:spacing w:line="240" w:lineRule="auto" w:before="326"/>
                                <w:rPr>
                                  <w:rFonts w:ascii="Times New Roman"/>
                                  <w:sz w:val="46"/>
                                </w:rPr>
                              </w:pPr>
                            </w:p>
                            <w:p>
                              <w:pPr>
                                <w:spacing w:line="249" w:lineRule="auto" w:before="0"/>
                                <w:ind w:left="1610" w:right="5004" w:firstLine="299"/>
                                <w:jc w:val="left"/>
                                <w:rPr>
                                  <w:rFonts w:ascii="Times New Roman"/>
                                  <w:b/>
                                  <w:sz w:val="46"/>
                                </w:rPr>
                              </w:pPr>
                              <w:r>
                                <w:rPr>
                                  <w:rFonts w:ascii="Times New Roman"/>
                                  <w:b/>
                                  <w:color w:val="FFFFFF"/>
                                  <w:w w:val="110"/>
                                  <w:sz w:val="46"/>
                                </w:rPr>
                                <w:t>What </w:t>
                              </w:r>
                              <w:r>
                                <w:rPr>
                                  <w:rFonts w:ascii="Times New Roman"/>
                                  <w:b/>
                                  <w:color w:val="FFFFFF"/>
                                  <w:w w:val="110"/>
                                  <w:sz w:val="46"/>
                                </w:rPr>
                                <w:t>disclosure </w:t>
                              </w:r>
                              <w:r>
                                <w:rPr>
                                  <w:rFonts w:ascii="Times New Roman"/>
                                  <w:b/>
                                  <w:color w:val="FFFFFF"/>
                                  <w:w w:val="115"/>
                                  <w:sz w:val="46"/>
                                </w:rPr>
                                <w:t>forms and</w:t>
                              </w:r>
                            </w:p>
                            <w:p>
                              <w:pPr>
                                <w:spacing w:line="249" w:lineRule="auto" w:before="4"/>
                                <w:ind w:left="610" w:right="5004" w:firstLine="500"/>
                                <w:jc w:val="left"/>
                                <w:rPr>
                                  <w:rFonts w:ascii="Times New Roman"/>
                                  <w:b/>
                                  <w:sz w:val="46"/>
                                </w:rPr>
                              </w:pPr>
                              <w:r>
                                <w:rPr>
                                  <w:rFonts w:ascii="Times New Roman"/>
                                  <w:b/>
                                  <w:color w:val="FFFFFF"/>
                                  <w:w w:val="115"/>
                                  <w:sz w:val="46"/>
                                </w:rPr>
                                <w:t>reports are necessary</w:t>
                              </w:r>
                              <w:r>
                                <w:rPr>
                                  <w:rFonts w:ascii="Times New Roman"/>
                                  <w:b/>
                                  <w:color w:val="FFFFFF"/>
                                  <w:spacing w:val="-41"/>
                                  <w:w w:val="115"/>
                                  <w:sz w:val="46"/>
                                </w:rPr>
                                <w:t> </w:t>
                              </w:r>
                              <w:r>
                                <w:rPr>
                                  <w:rFonts w:ascii="Times New Roman"/>
                                  <w:b/>
                                  <w:color w:val="FFFFFF"/>
                                  <w:w w:val="115"/>
                                  <w:sz w:val="46"/>
                                </w:rPr>
                                <w:t>when</w:t>
                              </w:r>
                            </w:p>
                            <w:p>
                              <w:pPr>
                                <w:spacing w:before="4"/>
                                <w:ind w:left="270" w:right="0" w:firstLine="0"/>
                                <w:jc w:val="left"/>
                                <w:rPr>
                                  <w:rFonts w:ascii="Times New Roman"/>
                                  <w:b/>
                                  <w:sz w:val="46"/>
                                </w:rPr>
                              </w:pPr>
                              <w:r>
                                <w:rPr>
                                  <w:rFonts w:ascii="Times New Roman"/>
                                  <w:b/>
                                  <w:color w:val="FFFFFF"/>
                                  <w:w w:val="110"/>
                                  <w:sz w:val="46"/>
                                </w:rPr>
                                <w:t>selling</w:t>
                              </w:r>
                              <w:r>
                                <w:rPr>
                                  <w:rFonts w:ascii="Times New Roman"/>
                                  <w:b/>
                                  <w:color w:val="FFFFFF"/>
                                  <w:spacing w:val="-5"/>
                                  <w:w w:val="110"/>
                                  <w:sz w:val="46"/>
                                </w:rPr>
                                <w:t> </w:t>
                              </w:r>
                              <w:r>
                                <w:rPr>
                                  <w:rFonts w:ascii="Times New Roman"/>
                                  <w:b/>
                                  <w:color w:val="FFFFFF"/>
                                  <w:w w:val="110"/>
                                  <w:sz w:val="46"/>
                                </w:rPr>
                                <w:t>a</w:t>
                              </w:r>
                              <w:r>
                                <w:rPr>
                                  <w:rFonts w:ascii="Times New Roman"/>
                                  <w:b/>
                                  <w:color w:val="FFFFFF"/>
                                  <w:spacing w:val="-2"/>
                                  <w:w w:val="110"/>
                                  <w:sz w:val="46"/>
                                </w:rPr>
                                <w:t> home?</w:t>
                              </w:r>
                            </w:p>
                          </w:txbxContent>
                        </wps:txbx>
                        <wps:bodyPr wrap="square" lIns="0" tIns="0" rIns="0" bIns="0" rtlCol="0">
                          <a:noAutofit/>
                        </wps:bodyPr>
                      </wps:wsp>
                    </wpg:wgp>
                  </a:graphicData>
                </a:graphic>
              </wp:inline>
            </w:drawing>
          </mc:Choice>
          <mc:Fallback>
            <w:pict>
              <v:group style="width:539pt;height:221.6pt;mso-position-horizontal-relative:char;mso-position-vertical-relative:line" id="docshapegroup1" coordorigin="0,0" coordsize="10780,4432">
                <v:shape style="position:absolute;left:238;top:0;width:10542;height:4432" type="#_x0000_t75" id="docshape2" stroked="false">
                  <v:imagedata r:id="rId5" o:title=""/>
                </v:shape>
                <v:shape style="position:absolute;left:0;top:0;width:6927;height:4432" id="docshape3" coordorigin="0,0" coordsize="6927,4432" path="m6926,0l2376,0,0,2674,0,4431,3421,4431,6926,0xe" filled="true" fillcolor="#0092c8" stroked="false">
                  <v:path arrowok="t"/>
                  <v:fill opacity="52428f" type="solid"/>
                </v:shape>
                <v:shapetype id="_x0000_t202" o:spt="202" coordsize="21600,21600" path="m,l,21600r21600,l21600,xe">
                  <v:stroke joinstyle="miter"/>
                  <v:path gradientshapeok="t" o:connecttype="rect"/>
                </v:shapetype>
                <v:shape style="position:absolute;left:0;top:0;width:10780;height:4432" type="#_x0000_t202" id="docshape4" filled="false" stroked="false">
                  <v:textbox inset="0,0,0,0">
                    <w:txbxContent>
                      <w:p>
                        <w:pPr>
                          <w:spacing w:line="240" w:lineRule="auto" w:before="326"/>
                          <w:rPr>
                            <w:rFonts w:ascii="Times New Roman"/>
                            <w:sz w:val="46"/>
                          </w:rPr>
                        </w:pPr>
                      </w:p>
                      <w:p>
                        <w:pPr>
                          <w:spacing w:line="249" w:lineRule="auto" w:before="0"/>
                          <w:ind w:left="1610" w:right="5004" w:firstLine="299"/>
                          <w:jc w:val="left"/>
                          <w:rPr>
                            <w:rFonts w:ascii="Times New Roman"/>
                            <w:b/>
                            <w:sz w:val="46"/>
                          </w:rPr>
                        </w:pPr>
                        <w:r>
                          <w:rPr>
                            <w:rFonts w:ascii="Times New Roman"/>
                            <w:b/>
                            <w:color w:val="FFFFFF"/>
                            <w:w w:val="110"/>
                            <w:sz w:val="46"/>
                          </w:rPr>
                          <w:t>What </w:t>
                        </w:r>
                        <w:r>
                          <w:rPr>
                            <w:rFonts w:ascii="Times New Roman"/>
                            <w:b/>
                            <w:color w:val="FFFFFF"/>
                            <w:w w:val="110"/>
                            <w:sz w:val="46"/>
                          </w:rPr>
                          <w:t>disclosure </w:t>
                        </w:r>
                        <w:r>
                          <w:rPr>
                            <w:rFonts w:ascii="Times New Roman"/>
                            <w:b/>
                            <w:color w:val="FFFFFF"/>
                            <w:w w:val="115"/>
                            <w:sz w:val="46"/>
                          </w:rPr>
                          <w:t>forms and</w:t>
                        </w:r>
                      </w:p>
                      <w:p>
                        <w:pPr>
                          <w:spacing w:line="249" w:lineRule="auto" w:before="4"/>
                          <w:ind w:left="610" w:right="5004" w:firstLine="500"/>
                          <w:jc w:val="left"/>
                          <w:rPr>
                            <w:rFonts w:ascii="Times New Roman"/>
                            <w:b/>
                            <w:sz w:val="46"/>
                          </w:rPr>
                        </w:pPr>
                        <w:r>
                          <w:rPr>
                            <w:rFonts w:ascii="Times New Roman"/>
                            <w:b/>
                            <w:color w:val="FFFFFF"/>
                            <w:w w:val="115"/>
                            <w:sz w:val="46"/>
                          </w:rPr>
                          <w:t>reports are necessary</w:t>
                        </w:r>
                        <w:r>
                          <w:rPr>
                            <w:rFonts w:ascii="Times New Roman"/>
                            <w:b/>
                            <w:color w:val="FFFFFF"/>
                            <w:spacing w:val="-41"/>
                            <w:w w:val="115"/>
                            <w:sz w:val="46"/>
                          </w:rPr>
                          <w:t> </w:t>
                        </w:r>
                        <w:r>
                          <w:rPr>
                            <w:rFonts w:ascii="Times New Roman"/>
                            <w:b/>
                            <w:color w:val="FFFFFF"/>
                            <w:w w:val="115"/>
                            <w:sz w:val="46"/>
                          </w:rPr>
                          <w:t>when</w:t>
                        </w:r>
                      </w:p>
                      <w:p>
                        <w:pPr>
                          <w:spacing w:before="4"/>
                          <w:ind w:left="270" w:right="0" w:firstLine="0"/>
                          <w:jc w:val="left"/>
                          <w:rPr>
                            <w:rFonts w:ascii="Times New Roman"/>
                            <w:b/>
                            <w:sz w:val="46"/>
                          </w:rPr>
                        </w:pPr>
                        <w:r>
                          <w:rPr>
                            <w:rFonts w:ascii="Times New Roman"/>
                            <w:b/>
                            <w:color w:val="FFFFFF"/>
                            <w:w w:val="110"/>
                            <w:sz w:val="46"/>
                          </w:rPr>
                          <w:t>selling</w:t>
                        </w:r>
                        <w:r>
                          <w:rPr>
                            <w:rFonts w:ascii="Times New Roman"/>
                            <w:b/>
                            <w:color w:val="FFFFFF"/>
                            <w:spacing w:val="-5"/>
                            <w:w w:val="110"/>
                            <w:sz w:val="46"/>
                          </w:rPr>
                          <w:t> </w:t>
                        </w:r>
                        <w:r>
                          <w:rPr>
                            <w:rFonts w:ascii="Times New Roman"/>
                            <w:b/>
                            <w:color w:val="FFFFFF"/>
                            <w:w w:val="110"/>
                            <w:sz w:val="46"/>
                          </w:rPr>
                          <w:t>a</w:t>
                        </w:r>
                        <w:r>
                          <w:rPr>
                            <w:rFonts w:ascii="Times New Roman"/>
                            <w:b/>
                            <w:color w:val="FFFFFF"/>
                            <w:spacing w:val="-2"/>
                            <w:w w:val="110"/>
                            <w:sz w:val="46"/>
                          </w:rPr>
                          <w:t> home?</w:t>
                        </w:r>
                      </w:p>
                    </w:txbxContent>
                  </v:textbox>
                  <w10:wrap type="none"/>
                </v:shape>
              </v:group>
            </w:pict>
          </mc:Fallback>
        </mc:AlternateContent>
      </w:r>
      <w:r>
        <w:rPr>
          <w:rFonts w:ascii="Times New Roman"/>
        </w:rPr>
      </w:r>
    </w:p>
    <w:p>
      <w:pPr>
        <w:pStyle w:val="BodyText"/>
        <w:spacing w:before="113"/>
        <w:ind w:left="0"/>
        <w:jc w:val="left"/>
        <w:rPr>
          <w:rFonts w:ascii="Times New Roman"/>
        </w:rPr>
      </w:pPr>
    </w:p>
    <w:p>
      <w:pPr>
        <w:spacing w:after="0"/>
        <w:jc w:val="left"/>
        <w:rPr>
          <w:rFonts w:ascii="Times New Roman"/>
        </w:rPr>
        <w:sectPr>
          <w:type w:val="continuous"/>
          <w:pgSz w:w="12240" w:h="15840"/>
          <w:pgMar w:top="720" w:bottom="280" w:left="620" w:right="600"/>
        </w:sectPr>
      </w:pPr>
    </w:p>
    <w:p>
      <w:pPr>
        <w:pStyle w:val="BodyText"/>
        <w:tabs>
          <w:tab w:pos="1668" w:val="left" w:leader="none"/>
          <w:tab w:pos="2550" w:val="left" w:leader="none"/>
          <w:tab w:pos="3400" w:val="left" w:leader="none"/>
          <w:tab w:pos="4104" w:val="left" w:leader="none"/>
          <w:tab w:pos="4643" w:val="left" w:leader="none"/>
        </w:tabs>
        <w:spacing w:before="94"/>
        <w:ind w:left="101" w:right="40" w:firstLine="695"/>
        <w:jc w:val="right"/>
      </w:pPr>
      <w:r>
        <w:rPr/>
        <mc:AlternateContent>
          <mc:Choice Requires="wps">
            <w:drawing>
              <wp:anchor distT="0" distB="0" distL="0" distR="0" allowOverlap="1" layoutInCell="1" locked="0" behindDoc="0" simplePos="0" relativeHeight="15729664">
                <wp:simplePos x="0" y="0"/>
                <wp:positionH relativeFrom="page">
                  <wp:posOffset>458216</wp:posOffset>
                </wp:positionH>
                <wp:positionV relativeFrom="paragraph">
                  <wp:posOffset>25207</wp:posOffset>
                </wp:positionV>
                <wp:extent cx="349885" cy="3702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9885" cy="370205"/>
                        </a:xfrm>
                        <a:prstGeom prst="rect">
                          <a:avLst/>
                        </a:prstGeom>
                      </wps:spPr>
                      <wps:txbx>
                        <w:txbxContent>
                          <w:p>
                            <w:pPr>
                              <w:spacing w:line="582" w:lineRule="exact" w:before="0"/>
                              <w:ind w:left="0" w:right="0" w:firstLine="0"/>
                              <w:jc w:val="left"/>
                              <w:rPr>
                                <w:b/>
                                <w:sz w:val="52"/>
                              </w:rPr>
                            </w:pPr>
                            <w:r>
                              <w:rPr>
                                <w:b/>
                                <w:color w:val="0092C8"/>
                                <w:spacing w:val="-5"/>
                                <w:sz w:val="52"/>
                              </w:rPr>
                              <w:t>A:</w:t>
                            </w:r>
                          </w:p>
                        </w:txbxContent>
                      </wps:txbx>
                      <wps:bodyPr wrap="square" lIns="0" tIns="0" rIns="0" bIns="0" rtlCol="0">
                        <a:noAutofit/>
                      </wps:bodyPr>
                    </wps:wsp>
                  </a:graphicData>
                </a:graphic>
              </wp:anchor>
            </w:drawing>
          </mc:Choice>
          <mc:Fallback>
            <w:pict>
              <v:shape style="position:absolute;margin-left:36.080002pt;margin-top:1.984872pt;width:27.55pt;height:29.15pt;mso-position-horizontal-relative:page;mso-position-vertical-relative:paragraph;z-index:15729664" type="#_x0000_t202" id="docshape5" filled="false" stroked="false">
                <v:textbox inset="0,0,0,0">
                  <w:txbxContent>
                    <w:p>
                      <w:pPr>
                        <w:spacing w:line="582" w:lineRule="exact" w:before="0"/>
                        <w:ind w:left="0" w:right="0" w:firstLine="0"/>
                        <w:jc w:val="left"/>
                        <w:rPr>
                          <w:b/>
                          <w:sz w:val="52"/>
                        </w:rPr>
                      </w:pPr>
                      <w:r>
                        <w:rPr>
                          <w:b/>
                          <w:color w:val="0092C8"/>
                          <w:spacing w:val="-5"/>
                          <w:sz w:val="52"/>
                        </w:rPr>
                        <w:t>A:</w:t>
                      </w:r>
                    </w:p>
                  </w:txbxContent>
                </v:textbox>
                <w10:wrap type="none"/>
              </v:shape>
            </w:pict>
          </mc:Fallback>
        </mc:AlternateContent>
      </w:r>
      <w:r>
        <w:rPr>
          <w:color w:val="231F20"/>
          <w:spacing w:val="-2"/>
        </w:rPr>
        <w:t>Sellers,</w:t>
      </w:r>
      <w:r>
        <w:rPr>
          <w:color w:val="231F20"/>
        </w:rPr>
        <w:tab/>
      </w:r>
      <w:r>
        <w:rPr>
          <w:color w:val="231F20"/>
          <w:spacing w:val="-2"/>
        </w:rPr>
        <w:t>through</w:t>
      </w:r>
      <w:r>
        <w:rPr>
          <w:color w:val="231F20"/>
        </w:rPr>
        <w:tab/>
      </w:r>
      <w:r>
        <w:rPr>
          <w:color w:val="231F20"/>
          <w:spacing w:val="-2"/>
        </w:rPr>
        <w:t>various</w:t>
      </w:r>
      <w:r>
        <w:rPr>
          <w:color w:val="231F20"/>
        </w:rPr>
        <w:tab/>
      </w:r>
      <w:r>
        <w:rPr>
          <w:color w:val="231F20"/>
          <w:spacing w:val="-2"/>
        </w:rPr>
        <w:t>forms</w:t>
      </w:r>
      <w:r>
        <w:rPr>
          <w:color w:val="231F20"/>
        </w:rPr>
        <w:tab/>
      </w:r>
      <w:r>
        <w:rPr>
          <w:color w:val="231F20"/>
          <w:spacing w:val="-4"/>
        </w:rPr>
        <w:t>and</w:t>
      </w:r>
      <w:r>
        <w:rPr>
          <w:color w:val="231F20"/>
        </w:rPr>
        <w:tab/>
      </w:r>
      <w:r>
        <w:rPr>
          <w:color w:val="231F20"/>
          <w:spacing w:val="-2"/>
        </w:rPr>
        <w:t>reports, </w:t>
      </w:r>
      <w:r>
        <w:rPr>
          <w:color w:val="231F20"/>
        </w:rPr>
        <w:t>disclose any conditions known to them which might negatively affect the value and desirability of the property for</w:t>
      </w:r>
      <w:r>
        <w:rPr>
          <w:color w:val="231F20"/>
          <w:spacing w:val="52"/>
        </w:rPr>
        <w:t> </w:t>
      </w:r>
      <w:r>
        <w:rPr>
          <w:color w:val="231F20"/>
        </w:rPr>
        <w:t>a</w:t>
      </w:r>
      <w:r>
        <w:rPr>
          <w:color w:val="231F20"/>
          <w:spacing w:val="52"/>
        </w:rPr>
        <w:t> </w:t>
      </w:r>
      <w:r>
        <w:rPr>
          <w:color w:val="231F20"/>
        </w:rPr>
        <w:t>prospective</w:t>
      </w:r>
      <w:r>
        <w:rPr>
          <w:color w:val="231F20"/>
          <w:spacing w:val="53"/>
        </w:rPr>
        <w:t> </w:t>
      </w:r>
      <w:r>
        <w:rPr>
          <w:color w:val="231F20"/>
        </w:rPr>
        <w:t>buyer.</w:t>
      </w:r>
      <w:r>
        <w:rPr>
          <w:color w:val="231F20"/>
          <w:spacing w:val="52"/>
        </w:rPr>
        <w:t> </w:t>
      </w:r>
      <w:r>
        <w:rPr>
          <w:color w:val="231F20"/>
        </w:rPr>
        <w:t>Mandated</w:t>
      </w:r>
      <w:r>
        <w:rPr>
          <w:color w:val="231F20"/>
          <w:spacing w:val="52"/>
        </w:rPr>
        <w:t> </w:t>
      </w:r>
      <w:r>
        <w:rPr>
          <w:color w:val="231F20"/>
        </w:rPr>
        <w:t>property</w:t>
      </w:r>
      <w:r>
        <w:rPr>
          <w:color w:val="231F20"/>
          <w:spacing w:val="53"/>
        </w:rPr>
        <w:t> </w:t>
      </w:r>
      <w:r>
        <w:rPr>
          <w:color w:val="231F20"/>
          <w:spacing w:val="-2"/>
        </w:rPr>
        <w:t>disclosures</w:t>
      </w:r>
    </w:p>
    <w:p>
      <w:pPr>
        <w:pStyle w:val="BodyText"/>
        <w:spacing w:before="0"/>
        <w:ind w:left="101"/>
        <w:jc w:val="left"/>
      </w:pPr>
      <w:r>
        <w:rPr>
          <w:color w:val="231F20"/>
          <w:spacing w:val="-2"/>
        </w:rPr>
        <w:t>include:</w:t>
      </w:r>
    </w:p>
    <w:p>
      <w:pPr>
        <w:pStyle w:val="ListParagraph"/>
        <w:numPr>
          <w:ilvl w:val="0"/>
          <w:numId w:val="1"/>
        </w:numPr>
        <w:tabs>
          <w:tab w:pos="641" w:val="left" w:leader="none"/>
        </w:tabs>
        <w:spacing w:line="240" w:lineRule="auto" w:before="90" w:after="0"/>
        <w:ind w:left="641" w:right="40" w:hanging="270"/>
        <w:jc w:val="both"/>
        <w:rPr>
          <w:sz w:val="20"/>
        </w:rPr>
      </w:pPr>
      <w:r>
        <w:rPr>
          <w:color w:val="231F20"/>
          <w:sz w:val="20"/>
        </w:rPr>
        <w:t>The Transfer Disclosure Statement (TDS): As the seller of a one-to-four unit residential property, you are required to furnish prospective buyers with a TDS setting forth the physical conditions and any other value-affecting facts regarding the property, its improvements and its surrounding area. The TDS is handed</w:t>
      </w:r>
      <w:r>
        <w:rPr>
          <w:color w:val="231F20"/>
          <w:spacing w:val="-4"/>
          <w:sz w:val="20"/>
        </w:rPr>
        <w:t> </w:t>
      </w:r>
      <w:r>
        <w:rPr>
          <w:color w:val="231F20"/>
          <w:sz w:val="20"/>
        </w:rPr>
        <w:t>to</w:t>
      </w:r>
      <w:r>
        <w:rPr>
          <w:color w:val="231F20"/>
          <w:spacing w:val="-4"/>
          <w:sz w:val="20"/>
        </w:rPr>
        <w:t> </w:t>
      </w:r>
      <w:r>
        <w:rPr>
          <w:color w:val="231F20"/>
          <w:sz w:val="20"/>
        </w:rPr>
        <w:t>prospective</w:t>
      </w:r>
      <w:r>
        <w:rPr>
          <w:color w:val="231F20"/>
          <w:spacing w:val="-4"/>
          <w:sz w:val="20"/>
        </w:rPr>
        <w:t> </w:t>
      </w:r>
      <w:r>
        <w:rPr>
          <w:color w:val="231F20"/>
          <w:sz w:val="20"/>
        </w:rPr>
        <w:t>buyers</w:t>
      </w:r>
      <w:r>
        <w:rPr>
          <w:color w:val="231F20"/>
          <w:spacing w:val="-4"/>
          <w:sz w:val="20"/>
        </w:rPr>
        <w:t> </w:t>
      </w:r>
      <w:r>
        <w:rPr>
          <w:color w:val="231F20"/>
          <w:sz w:val="20"/>
        </w:rPr>
        <w:t>as</w:t>
      </w:r>
      <w:r>
        <w:rPr>
          <w:color w:val="231F20"/>
          <w:spacing w:val="-4"/>
          <w:sz w:val="20"/>
        </w:rPr>
        <w:t> </w:t>
      </w:r>
      <w:r>
        <w:rPr>
          <w:color w:val="231F20"/>
          <w:sz w:val="20"/>
        </w:rPr>
        <w:t>soon</w:t>
      </w:r>
      <w:r>
        <w:rPr>
          <w:color w:val="231F20"/>
          <w:spacing w:val="-4"/>
          <w:sz w:val="20"/>
        </w:rPr>
        <w:t> </w:t>
      </w:r>
      <w:r>
        <w:rPr>
          <w:color w:val="231F20"/>
          <w:sz w:val="20"/>
        </w:rPr>
        <w:t>as</w:t>
      </w:r>
      <w:r>
        <w:rPr>
          <w:color w:val="231F20"/>
          <w:spacing w:val="-4"/>
          <w:sz w:val="20"/>
        </w:rPr>
        <w:t> </w:t>
      </w:r>
      <w:r>
        <w:rPr>
          <w:color w:val="231F20"/>
          <w:sz w:val="20"/>
        </w:rPr>
        <w:t>practicable (ASAP) — when negotiations to purchase your property commence.</w:t>
      </w:r>
    </w:p>
    <w:p>
      <w:pPr>
        <w:pStyle w:val="ListParagraph"/>
        <w:numPr>
          <w:ilvl w:val="0"/>
          <w:numId w:val="1"/>
        </w:numPr>
        <w:tabs>
          <w:tab w:pos="641" w:val="left" w:leader="none"/>
        </w:tabs>
        <w:spacing w:line="240" w:lineRule="auto" w:before="90" w:after="0"/>
        <w:ind w:left="641" w:right="40" w:hanging="270"/>
        <w:jc w:val="both"/>
        <w:rPr>
          <w:sz w:val="20"/>
        </w:rPr>
      </w:pPr>
      <w:r>
        <w:rPr>
          <w:color w:val="231F20"/>
          <w:sz w:val="20"/>
        </w:rPr>
        <w:t>The Natural Hazard Disclosure (NHD) Statement: The NHD statement is a mandated form prepared</w:t>
      </w:r>
      <w:r>
        <w:rPr>
          <w:color w:val="231F20"/>
          <w:spacing w:val="80"/>
          <w:sz w:val="20"/>
        </w:rPr>
        <w:t> </w:t>
      </w:r>
      <w:r>
        <w:rPr>
          <w:color w:val="231F20"/>
          <w:sz w:val="20"/>
        </w:rPr>
        <w:t>by a third-party NHD expert used by you and your agent to disclose publically available natural hazard information such as potential flooding, fire hazards and earthquake fault zones.</w:t>
      </w:r>
    </w:p>
    <w:p>
      <w:pPr>
        <w:pStyle w:val="ListParagraph"/>
        <w:numPr>
          <w:ilvl w:val="0"/>
          <w:numId w:val="1"/>
        </w:numPr>
        <w:tabs>
          <w:tab w:pos="641" w:val="left" w:leader="none"/>
        </w:tabs>
        <w:spacing w:line="240" w:lineRule="auto" w:before="90" w:after="0"/>
        <w:ind w:left="641" w:right="38" w:hanging="270"/>
        <w:jc w:val="both"/>
        <w:rPr>
          <w:sz w:val="20"/>
        </w:rPr>
      </w:pPr>
      <w:r>
        <w:rPr>
          <w:color w:val="231F20"/>
          <w:sz w:val="20"/>
        </w:rPr>
        <w:t>The Lead-Based Paint (LBP) disclosure:</w:t>
      </w:r>
      <w:r>
        <w:rPr>
          <w:color w:val="231F20"/>
          <w:spacing w:val="-2"/>
          <w:sz w:val="20"/>
        </w:rPr>
        <w:t> </w:t>
      </w:r>
      <w:r>
        <w:rPr>
          <w:color w:val="231F20"/>
          <w:sz w:val="20"/>
        </w:rPr>
        <w:t>The federal LBP disclosure form is required for all pre-1978 residential</w:t>
      </w:r>
      <w:r>
        <w:rPr>
          <w:color w:val="231F20"/>
          <w:spacing w:val="-14"/>
          <w:sz w:val="20"/>
        </w:rPr>
        <w:t> </w:t>
      </w:r>
      <w:r>
        <w:rPr>
          <w:color w:val="231F20"/>
          <w:sz w:val="20"/>
        </w:rPr>
        <w:t>construction.</w:t>
      </w:r>
      <w:r>
        <w:rPr>
          <w:color w:val="231F20"/>
          <w:spacing w:val="-14"/>
          <w:sz w:val="20"/>
        </w:rPr>
        <w:t> </w:t>
      </w:r>
      <w:r>
        <w:rPr>
          <w:color w:val="231F20"/>
          <w:sz w:val="20"/>
        </w:rPr>
        <w:t>LBP</w:t>
      </w:r>
      <w:r>
        <w:rPr>
          <w:color w:val="231F20"/>
          <w:spacing w:val="-14"/>
          <w:sz w:val="20"/>
        </w:rPr>
        <w:t> </w:t>
      </w:r>
      <w:r>
        <w:rPr>
          <w:color w:val="231F20"/>
          <w:sz w:val="20"/>
        </w:rPr>
        <w:t>disclosure</w:t>
      </w:r>
      <w:r>
        <w:rPr>
          <w:color w:val="231F20"/>
          <w:spacing w:val="-14"/>
          <w:sz w:val="20"/>
        </w:rPr>
        <w:t> </w:t>
      </w:r>
      <w:r>
        <w:rPr>
          <w:color w:val="231F20"/>
          <w:sz w:val="20"/>
        </w:rPr>
        <w:t>rules</w:t>
      </w:r>
      <w:r>
        <w:rPr>
          <w:color w:val="231F20"/>
          <w:spacing w:val="-14"/>
          <w:sz w:val="20"/>
        </w:rPr>
        <w:t> </w:t>
      </w:r>
      <w:r>
        <w:rPr>
          <w:color w:val="231F20"/>
          <w:sz w:val="20"/>
        </w:rPr>
        <w:t>set</w:t>
      </w:r>
      <w:r>
        <w:rPr>
          <w:color w:val="231F20"/>
          <w:spacing w:val="-14"/>
          <w:sz w:val="20"/>
        </w:rPr>
        <w:t> </w:t>
      </w:r>
      <w:r>
        <w:rPr>
          <w:color w:val="231F20"/>
          <w:sz w:val="20"/>
        </w:rPr>
        <w:t>forth the requirements for you to disclose any known LBP hazards and the buyer’s right to investigate them.</w:t>
      </w:r>
    </w:p>
    <w:p>
      <w:pPr>
        <w:pStyle w:val="BodyText"/>
        <w:ind w:left="101" w:right="40"/>
      </w:pPr>
      <w:r>
        <w:rPr>
          <w:color w:val="231F20"/>
        </w:rPr>
        <w:t>You may obtain additional reports to best disclose your property’s</w:t>
      </w:r>
      <w:r>
        <w:rPr>
          <w:color w:val="231F20"/>
          <w:spacing w:val="-11"/>
        </w:rPr>
        <w:t> </w:t>
      </w:r>
      <w:r>
        <w:rPr>
          <w:color w:val="231F20"/>
        </w:rPr>
        <w:t>conditions</w:t>
      </w:r>
      <w:r>
        <w:rPr>
          <w:color w:val="231F20"/>
          <w:spacing w:val="-11"/>
        </w:rPr>
        <w:t> </w:t>
      </w:r>
      <w:r>
        <w:rPr>
          <w:color w:val="231F20"/>
        </w:rPr>
        <w:t>to</w:t>
      </w:r>
      <w:r>
        <w:rPr>
          <w:color w:val="231F20"/>
          <w:spacing w:val="-11"/>
        </w:rPr>
        <w:t> </w:t>
      </w:r>
      <w:r>
        <w:rPr>
          <w:color w:val="231F20"/>
        </w:rPr>
        <w:t>a</w:t>
      </w:r>
      <w:r>
        <w:rPr>
          <w:color w:val="231F20"/>
          <w:spacing w:val="-11"/>
        </w:rPr>
        <w:t> </w:t>
      </w:r>
      <w:r>
        <w:rPr>
          <w:color w:val="231F20"/>
        </w:rPr>
        <w:t>prospective</w:t>
      </w:r>
      <w:r>
        <w:rPr>
          <w:color w:val="231F20"/>
          <w:spacing w:val="-11"/>
        </w:rPr>
        <w:t> </w:t>
      </w:r>
      <w:r>
        <w:rPr>
          <w:color w:val="231F20"/>
        </w:rPr>
        <w:t>buyer.</w:t>
      </w:r>
      <w:r>
        <w:rPr>
          <w:color w:val="231F20"/>
          <w:spacing w:val="-14"/>
        </w:rPr>
        <w:t> </w:t>
      </w:r>
      <w:r>
        <w:rPr>
          <w:color w:val="231F20"/>
        </w:rPr>
        <w:t>These</w:t>
      </w:r>
      <w:r>
        <w:rPr>
          <w:color w:val="231F20"/>
          <w:spacing w:val="-11"/>
        </w:rPr>
        <w:t> </w:t>
      </w:r>
      <w:r>
        <w:rPr>
          <w:color w:val="231F20"/>
        </w:rPr>
        <w:t>reports, which</w:t>
      </w:r>
      <w:r>
        <w:rPr>
          <w:color w:val="231F20"/>
          <w:spacing w:val="40"/>
        </w:rPr>
        <w:t> </w:t>
      </w:r>
      <w:r>
        <w:rPr>
          <w:color w:val="231F20"/>
        </w:rPr>
        <w:t>your</w:t>
      </w:r>
      <w:r>
        <w:rPr>
          <w:color w:val="231F20"/>
          <w:spacing w:val="43"/>
        </w:rPr>
        <w:t> </w:t>
      </w:r>
      <w:r>
        <w:rPr>
          <w:color w:val="231F20"/>
        </w:rPr>
        <w:t>seller’s</w:t>
      </w:r>
      <w:r>
        <w:rPr>
          <w:color w:val="231F20"/>
          <w:spacing w:val="42"/>
        </w:rPr>
        <w:t> </w:t>
      </w:r>
      <w:r>
        <w:rPr>
          <w:color w:val="231F20"/>
        </w:rPr>
        <w:t>agent</w:t>
      </w:r>
      <w:r>
        <w:rPr>
          <w:color w:val="231F20"/>
          <w:spacing w:val="43"/>
        </w:rPr>
        <w:t> </w:t>
      </w:r>
      <w:r>
        <w:rPr>
          <w:color w:val="231F20"/>
        </w:rPr>
        <w:t>will</w:t>
      </w:r>
      <w:r>
        <w:rPr>
          <w:color w:val="231F20"/>
          <w:spacing w:val="43"/>
        </w:rPr>
        <w:t> </w:t>
      </w:r>
      <w:r>
        <w:rPr>
          <w:color w:val="231F20"/>
        </w:rPr>
        <w:t>advise</w:t>
      </w:r>
      <w:r>
        <w:rPr>
          <w:color w:val="231F20"/>
          <w:spacing w:val="42"/>
        </w:rPr>
        <w:t> </w:t>
      </w:r>
      <w:r>
        <w:rPr>
          <w:color w:val="231F20"/>
        </w:rPr>
        <w:t>you</w:t>
      </w:r>
      <w:r>
        <w:rPr>
          <w:color w:val="231F20"/>
          <w:spacing w:val="43"/>
        </w:rPr>
        <w:t> </w:t>
      </w:r>
      <w:r>
        <w:rPr>
          <w:color w:val="231F20"/>
        </w:rPr>
        <w:t>about,</w:t>
      </w:r>
      <w:r>
        <w:rPr>
          <w:color w:val="231F20"/>
          <w:spacing w:val="43"/>
        </w:rPr>
        <w:t> </w:t>
      </w:r>
      <w:r>
        <w:rPr>
          <w:color w:val="231F20"/>
          <w:spacing w:val="-2"/>
        </w:rPr>
        <w:t>provide</w:t>
      </w:r>
    </w:p>
    <w:p>
      <w:pPr>
        <w:pStyle w:val="BodyText"/>
        <w:spacing w:before="94"/>
        <w:ind w:left="101"/>
      </w:pPr>
      <w:r>
        <w:rPr/>
        <w:br w:type="column"/>
      </w:r>
      <w:r>
        <w:rPr>
          <w:color w:val="231F20"/>
        </w:rPr>
        <w:t>additional</w:t>
      </w:r>
      <w:r>
        <w:rPr>
          <w:color w:val="231F20"/>
          <w:spacing w:val="-5"/>
        </w:rPr>
        <w:t> </w:t>
      </w:r>
      <w:r>
        <w:rPr>
          <w:color w:val="231F20"/>
        </w:rPr>
        <w:t>information</w:t>
      </w:r>
      <w:r>
        <w:rPr>
          <w:color w:val="231F20"/>
          <w:spacing w:val="-5"/>
        </w:rPr>
        <w:t> </w:t>
      </w:r>
      <w:r>
        <w:rPr>
          <w:color w:val="231F20"/>
        </w:rPr>
        <w:t>to</w:t>
      </w:r>
      <w:r>
        <w:rPr>
          <w:color w:val="231F20"/>
          <w:spacing w:val="-5"/>
        </w:rPr>
        <w:t> </w:t>
      </w:r>
      <w:r>
        <w:rPr>
          <w:color w:val="231F20"/>
        </w:rPr>
        <w:t>include</w:t>
      </w:r>
      <w:r>
        <w:rPr>
          <w:color w:val="231F20"/>
          <w:spacing w:val="-5"/>
        </w:rPr>
        <w:t> </w:t>
      </w:r>
      <w:r>
        <w:rPr>
          <w:color w:val="231F20"/>
        </w:rPr>
        <w:t>in</w:t>
      </w:r>
      <w:r>
        <w:rPr>
          <w:color w:val="231F20"/>
          <w:spacing w:val="-5"/>
        </w:rPr>
        <w:t> </w:t>
      </w:r>
      <w:r>
        <w:rPr>
          <w:color w:val="231F20"/>
        </w:rPr>
        <w:t>the</w:t>
      </w:r>
      <w:r>
        <w:rPr>
          <w:color w:val="231F20"/>
          <w:spacing w:val="-8"/>
        </w:rPr>
        <w:t> </w:t>
      </w:r>
      <w:r>
        <w:rPr>
          <w:color w:val="231F20"/>
          <w:spacing w:val="-4"/>
        </w:rPr>
        <w:t>TDS:</w:t>
      </w:r>
    </w:p>
    <w:p>
      <w:pPr>
        <w:pStyle w:val="ListParagraph"/>
        <w:numPr>
          <w:ilvl w:val="0"/>
          <w:numId w:val="1"/>
        </w:numPr>
        <w:tabs>
          <w:tab w:pos="641" w:val="left" w:leader="none"/>
        </w:tabs>
        <w:spacing w:line="240" w:lineRule="auto" w:before="90" w:after="0"/>
        <w:ind w:left="641" w:right="117" w:hanging="270"/>
        <w:jc w:val="both"/>
        <w:rPr>
          <w:sz w:val="20"/>
        </w:rPr>
      </w:pPr>
      <w:r>
        <w:rPr>
          <w:color w:val="231F20"/>
          <w:sz w:val="20"/>
        </w:rPr>
        <w:t>The</w:t>
      </w:r>
      <w:r>
        <w:rPr>
          <w:color w:val="231F20"/>
          <w:spacing w:val="-14"/>
          <w:sz w:val="20"/>
        </w:rPr>
        <w:t> </w:t>
      </w:r>
      <w:r>
        <w:rPr>
          <w:color w:val="231F20"/>
          <w:sz w:val="20"/>
        </w:rPr>
        <w:t>Home</w:t>
      </w:r>
      <w:r>
        <w:rPr>
          <w:color w:val="231F20"/>
          <w:spacing w:val="-14"/>
          <w:sz w:val="20"/>
        </w:rPr>
        <w:t> </w:t>
      </w:r>
      <w:r>
        <w:rPr>
          <w:color w:val="231F20"/>
          <w:sz w:val="20"/>
        </w:rPr>
        <w:t>Inspection</w:t>
      </w:r>
      <w:r>
        <w:rPr>
          <w:color w:val="231F20"/>
          <w:spacing w:val="-14"/>
          <w:sz w:val="20"/>
        </w:rPr>
        <w:t> </w:t>
      </w:r>
      <w:r>
        <w:rPr>
          <w:color w:val="231F20"/>
          <w:sz w:val="20"/>
        </w:rPr>
        <w:t>Report</w:t>
      </w:r>
      <w:r>
        <w:rPr>
          <w:color w:val="231F20"/>
          <w:spacing w:val="-14"/>
          <w:sz w:val="20"/>
        </w:rPr>
        <w:t> </w:t>
      </w:r>
      <w:r>
        <w:rPr>
          <w:color w:val="231F20"/>
          <w:sz w:val="20"/>
        </w:rPr>
        <w:t>(HIR):</w:t>
      </w:r>
      <w:r>
        <w:rPr>
          <w:color w:val="231F20"/>
          <w:spacing w:val="-14"/>
          <w:sz w:val="20"/>
        </w:rPr>
        <w:t> </w:t>
      </w:r>
      <w:r>
        <w:rPr>
          <w:color w:val="231F20"/>
          <w:sz w:val="20"/>
        </w:rPr>
        <w:t>A</w:t>
      </w:r>
      <w:r>
        <w:rPr>
          <w:color w:val="231F20"/>
          <w:spacing w:val="-14"/>
          <w:sz w:val="20"/>
        </w:rPr>
        <w:t> </w:t>
      </w:r>
      <w:r>
        <w:rPr>
          <w:color w:val="231F20"/>
          <w:sz w:val="20"/>
        </w:rPr>
        <w:t>home</w:t>
      </w:r>
      <w:r>
        <w:rPr>
          <w:color w:val="231F20"/>
          <w:spacing w:val="-14"/>
          <w:sz w:val="20"/>
        </w:rPr>
        <w:t> </w:t>
      </w:r>
      <w:r>
        <w:rPr>
          <w:color w:val="231F20"/>
          <w:sz w:val="20"/>
        </w:rPr>
        <w:t>inspector conducts</w:t>
      </w:r>
      <w:r>
        <w:rPr>
          <w:color w:val="231F20"/>
          <w:spacing w:val="40"/>
          <w:sz w:val="20"/>
        </w:rPr>
        <w:t> </w:t>
      </w:r>
      <w:r>
        <w:rPr>
          <w:color w:val="231F20"/>
          <w:sz w:val="20"/>
        </w:rPr>
        <w:t>a</w:t>
      </w:r>
      <w:r>
        <w:rPr>
          <w:color w:val="231F20"/>
          <w:spacing w:val="40"/>
          <w:sz w:val="20"/>
        </w:rPr>
        <w:t> </w:t>
      </w:r>
      <w:r>
        <w:rPr>
          <w:color w:val="231F20"/>
          <w:sz w:val="20"/>
        </w:rPr>
        <w:t>physical</w:t>
      </w:r>
      <w:r>
        <w:rPr>
          <w:color w:val="231F20"/>
          <w:spacing w:val="40"/>
          <w:sz w:val="20"/>
        </w:rPr>
        <w:t> </w:t>
      </w:r>
      <w:r>
        <w:rPr>
          <w:color w:val="231F20"/>
          <w:sz w:val="20"/>
        </w:rPr>
        <w:t>examination</w:t>
      </w:r>
      <w:r>
        <w:rPr>
          <w:color w:val="231F20"/>
          <w:spacing w:val="40"/>
          <w:sz w:val="20"/>
        </w:rPr>
        <w:t> </w:t>
      </w:r>
      <w:r>
        <w:rPr>
          <w:color w:val="231F20"/>
          <w:sz w:val="20"/>
        </w:rPr>
        <w:t>of</w:t>
      </w:r>
      <w:r>
        <w:rPr>
          <w:color w:val="231F20"/>
          <w:spacing w:val="40"/>
          <w:sz w:val="20"/>
        </w:rPr>
        <w:t> </w:t>
      </w:r>
      <w:r>
        <w:rPr>
          <w:color w:val="231F20"/>
          <w:sz w:val="20"/>
        </w:rPr>
        <w:t>your</w:t>
      </w:r>
      <w:r>
        <w:rPr>
          <w:color w:val="231F20"/>
          <w:spacing w:val="40"/>
          <w:sz w:val="20"/>
        </w:rPr>
        <w:t> </w:t>
      </w:r>
      <w:r>
        <w:rPr>
          <w:color w:val="231F20"/>
          <w:sz w:val="20"/>
        </w:rPr>
        <w:t>property to determine the condition of its components and systems. On completion of their examination, they hand you an HIR on their observations and findings. In</w:t>
      </w:r>
      <w:r>
        <w:rPr>
          <w:color w:val="231F20"/>
          <w:spacing w:val="40"/>
          <w:sz w:val="20"/>
        </w:rPr>
        <w:t> </w:t>
      </w:r>
      <w:r>
        <w:rPr>
          <w:color w:val="231F20"/>
          <w:sz w:val="20"/>
        </w:rPr>
        <w:t>turn,</w:t>
      </w:r>
      <w:r>
        <w:rPr>
          <w:color w:val="231F20"/>
          <w:spacing w:val="40"/>
          <w:sz w:val="20"/>
        </w:rPr>
        <w:t> </w:t>
      </w:r>
      <w:r>
        <w:rPr>
          <w:color w:val="231F20"/>
          <w:sz w:val="20"/>
        </w:rPr>
        <w:t>you</w:t>
      </w:r>
      <w:r>
        <w:rPr>
          <w:color w:val="231F20"/>
          <w:spacing w:val="40"/>
          <w:sz w:val="20"/>
        </w:rPr>
        <w:t> </w:t>
      </w:r>
      <w:r>
        <w:rPr>
          <w:color w:val="231F20"/>
          <w:sz w:val="20"/>
        </w:rPr>
        <w:t>use</w:t>
      </w:r>
      <w:r>
        <w:rPr>
          <w:color w:val="231F20"/>
          <w:spacing w:val="40"/>
          <w:sz w:val="20"/>
        </w:rPr>
        <w:t> </w:t>
      </w:r>
      <w:r>
        <w:rPr>
          <w:color w:val="231F20"/>
          <w:sz w:val="20"/>
        </w:rPr>
        <w:t>the</w:t>
      </w:r>
      <w:r>
        <w:rPr>
          <w:color w:val="231F20"/>
          <w:spacing w:val="40"/>
          <w:sz w:val="20"/>
        </w:rPr>
        <w:t> </w:t>
      </w:r>
      <w:r>
        <w:rPr>
          <w:color w:val="231F20"/>
          <w:sz w:val="20"/>
        </w:rPr>
        <w:t>HIR</w:t>
      </w:r>
      <w:r>
        <w:rPr>
          <w:color w:val="231F20"/>
          <w:spacing w:val="40"/>
          <w:sz w:val="20"/>
        </w:rPr>
        <w:t> </w:t>
      </w:r>
      <w:r>
        <w:rPr>
          <w:color w:val="231F20"/>
          <w:sz w:val="20"/>
        </w:rPr>
        <w:t>to</w:t>
      </w:r>
      <w:r>
        <w:rPr>
          <w:color w:val="231F20"/>
          <w:spacing w:val="40"/>
          <w:sz w:val="20"/>
        </w:rPr>
        <w:t> </w:t>
      </w:r>
      <w:r>
        <w:rPr>
          <w:color w:val="231F20"/>
          <w:sz w:val="20"/>
        </w:rPr>
        <w:t>prepare</w:t>
      </w:r>
      <w:r>
        <w:rPr>
          <w:color w:val="231F20"/>
          <w:spacing w:val="40"/>
          <w:sz w:val="20"/>
        </w:rPr>
        <w:t> </w:t>
      </w:r>
      <w:r>
        <w:rPr>
          <w:color w:val="231F20"/>
          <w:sz w:val="20"/>
        </w:rPr>
        <w:t>your</w:t>
      </w:r>
      <w:r>
        <w:rPr>
          <w:color w:val="231F20"/>
          <w:spacing w:val="40"/>
          <w:sz w:val="20"/>
        </w:rPr>
        <w:t> </w:t>
      </w:r>
      <w:r>
        <w:rPr>
          <w:color w:val="231F20"/>
          <w:sz w:val="20"/>
        </w:rPr>
        <w:t>TDS, and then attach it to the TDS to avoid claims of misrepresentation against you and your agent.</w:t>
      </w:r>
    </w:p>
    <w:p>
      <w:pPr>
        <w:pStyle w:val="ListParagraph"/>
        <w:numPr>
          <w:ilvl w:val="0"/>
          <w:numId w:val="1"/>
        </w:numPr>
        <w:tabs>
          <w:tab w:pos="641" w:val="left" w:leader="none"/>
        </w:tabs>
        <w:spacing w:line="240" w:lineRule="auto" w:before="90" w:after="0"/>
        <w:ind w:left="641" w:right="117" w:hanging="270"/>
        <w:jc w:val="both"/>
        <w:rPr>
          <w:sz w:val="20"/>
        </w:rPr>
      </w:pPr>
      <w:r>
        <w:rPr>
          <w:color w:val="231F20"/>
          <w:sz w:val="20"/>
        </w:rPr>
        <w:t>A Structural Pest Control (SPC) report: A report disclosing the existence of termites or structural damage due to a termite or fungal infestation. Whether you or the buyer will pay for corrective actions and repairs outlined in the SPC report is </w:t>
      </w:r>
      <w:r>
        <w:rPr>
          <w:color w:val="231F20"/>
          <w:spacing w:val="-2"/>
          <w:sz w:val="20"/>
        </w:rPr>
        <w:t>negotiated</w:t>
      </w:r>
      <w:r>
        <w:rPr>
          <w:color w:val="231F20"/>
          <w:spacing w:val="-12"/>
          <w:sz w:val="20"/>
        </w:rPr>
        <w:t> </w:t>
      </w:r>
      <w:r>
        <w:rPr>
          <w:color w:val="231F20"/>
          <w:spacing w:val="-2"/>
          <w:sz w:val="20"/>
        </w:rPr>
        <w:t>between</w:t>
      </w:r>
      <w:r>
        <w:rPr>
          <w:color w:val="231F20"/>
          <w:spacing w:val="-12"/>
          <w:sz w:val="20"/>
        </w:rPr>
        <w:t> </w:t>
      </w:r>
      <w:r>
        <w:rPr>
          <w:color w:val="231F20"/>
          <w:spacing w:val="-2"/>
          <w:sz w:val="20"/>
        </w:rPr>
        <w:t>you</w:t>
      </w:r>
      <w:r>
        <w:rPr>
          <w:color w:val="231F20"/>
          <w:spacing w:val="-12"/>
          <w:sz w:val="20"/>
        </w:rPr>
        <w:t> </w:t>
      </w:r>
      <w:r>
        <w:rPr>
          <w:color w:val="231F20"/>
          <w:spacing w:val="-2"/>
          <w:sz w:val="20"/>
        </w:rPr>
        <w:t>and</w:t>
      </w:r>
      <w:r>
        <w:rPr>
          <w:color w:val="231F20"/>
          <w:spacing w:val="-12"/>
          <w:sz w:val="20"/>
        </w:rPr>
        <w:t> </w:t>
      </w:r>
      <w:r>
        <w:rPr>
          <w:color w:val="231F20"/>
          <w:spacing w:val="-2"/>
          <w:sz w:val="20"/>
        </w:rPr>
        <w:t>the</w:t>
      </w:r>
      <w:r>
        <w:rPr>
          <w:color w:val="231F20"/>
          <w:spacing w:val="-12"/>
          <w:sz w:val="20"/>
        </w:rPr>
        <w:t> </w:t>
      </w:r>
      <w:r>
        <w:rPr>
          <w:color w:val="231F20"/>
          <w:spacing w:val="-2"/>
          <w:sz w:val="20"/>
        </w:rPr>
        <w:t>buyer</w:t>
      </w:r>
      <w:r>
        <w:rPr>
          <w:color w:val="231F20"/>
          <w:spacing w:val="-12"/>
          <w:sz w:val="20"/>
        </w:rPr>
        <w:t> </w:t>
      </w:r>
      <w:r>
        <w:rPr>
          <w:color w:val="231F20"/>
          <w:spacing w:val="-2"/>
          <w:sz w:val="20"/>
        </w:rPr>
        <w:t>in</w:t>
      </w:r>
      <w:r>
        <w:rPr>
          <w:color w:val="231F20"/>
          <w:spacing w:val="-12"/>
          <w:sz w:val="20"/>
        </w:rPr>
        <w:t> </w:t>
      </w:r>
      <w:r>
        <w:rPr>
          <w:color w:val="231F20"/>
          <w:spacing w:val="-2"/>
          <w:sz w:val="20"/>
        </w:rPr>
        <w:t>the</w:t>
      </w:r>
      <w:r>
        <w:rPr>
          <w:color w:val="231F20"/>
          <w:spacing w:val="-12"/>
          <w:sz w:val="20"/>
        </w:rPr>
        <w:t> </w:t>
      </w:r>
      <w:r>
        <w:rPr>
          <w:color w:val="231F20"/>
          <w:spacing w:val="-2"/>
          <w:sz w:val="20"/>
        </w:rPr>
        <w:t>purchase agreement.</w:t>
      </w:r>
    </w:p>
    <w:p>
      <w:pPr>
        <w:pStyle w:val="ListParagraph"/>
        <w:numPr>
          <w:ilvl w:val="0"/>
          <w:numId w:val="1"/>
        </w:numPr>
        <w:tabs>
          <w:tab w:pos="641" w:val="left" w:leader="none"/>
        </w:tabs>
        <w:spacing w:line="240" w:lineRule="auto" w:before="90" w:after="0"/>
        <w:ind w:left="641" w:right="117" w:hanging="270"/>
        <w:jc w:val="both"/>
        <w:rPr>
          <w:sz w:val="20"/>
        </w:rPr>
      </w:pPr>
      <w:r>
        <w:rPr>
          <w:color w:val="231F20"/>
          <w:sz w:val="20"/>
        </w:rPr>
        <w:t>A</w:t>
      </w:r>
      <w:r>
        <w:rPr>
          <w:color w:val="231F20"/>
          <w:spacing w:val="-14"/>
          <w:sz w:val="20"/>
        </w:rPr>
        <w:t> </w:t>
      </w:r>
      <w:r>
        <w:rPr>
          <w:color w:val="231F20"/>
          <w:sz w:val="20"/>
        </w:rPr>
        <w:t>neighborhood</w:t>
      </w:r>
      <w:r>
        <w:rPr>
          <w:color w:val="231F20"/>
          <w:spacing w:val="-14"/>
          <w:sz w:val="20"/>
        </w:rPr>
        <w:t> </w:t>
      </w:r>
      <w:r>
        <w:rPr>
          <w:color w:val="231F20"/>
          <w:sz w:val="20"/>
        </w:rPr>
        <w:t>security</w:t>
      </w:r>
      <w:r>
        <w:rPr>
          <w:color w:val="231F20"/>
          <w:spacing w:val="-14"/>
          <w:sz w:val="20"/>
        </w:rPr>
        <w:t> </w:t>
      </w:r>
      <w:r>
        <w:rPr>
          <w:color w:val="231F20"/>
          <w:sz w:val="20"/>
        </w:rPr>
        <w:t>disclosure:</w:t>
      </w:r>
      <w:r>
        <w:rPr>
          <w:color w:val="231F20"/>
          <w:spacing w:val="-14"/>
          <w:sz w:val="20"/>
        </w:rPr>
        <w:t> </w:t>
      </w:r>
      <w:r>
        <w:rPr>
          <w:color w:val="231F20"/>
          <w:sz w:val="20"/>
        </w:rPr>
        <w:t>A</w:t>
      </w:r>
      <w:r>
        <w:rPr>
          <w:color w:val="231F20"/>
          <w:spacing w:val="-14"/>
          <w:sz w:val="20"/>
        </w:rPr>
        <w:t> </w:t>
      </w:r>
      <w:r>
        <w:rPr>
          <w:color w:val="231F20"/>
          <w:sz w:val="20"/>
        </w:rPr>
        <w:t>form</w:t>
      </w:r>
      <w:r>
        <w:rPr>
          <w:color w:val="231F20"/>
          <w:spacing w:val="-14"/>
          <w:sz w:val="20"/>
        </w:rPr>
        <w:t> </w:t>
      </w:r>
      <w:r>
        <w:rPr>
          <w:color w:val="231F20"/>
          <w:sz w:val="20"/>
        </w:rPr>
        <w:t>disclosing the known security conditions or criminal activity affecting the property and its surrounding area.</w:t>
      </w:r>
    </w:p>
    <w:p>
      <w:pPr>
        <w:pStyle w:val="BodyText"/>
        <w:ind w:left="101" w:right="116"/>
      </w:pPr>
      <w:r>
        <w:rPr>
          <w:color w:val="231F20"/>
          <w:spacing w:val="-2"/>
        </w:rPr>
        <w:t>Further,</w:t>
      </w:r>
      <w:r>
        <w:rPr>
          <w:color w:val="231F20"/>
          <w:spacing w:val="-11"/>
        </w:rPr>
        <w:t> </w:t>
      </w:r>
      <w:r>
        <w:rPr>
          <w:color w:val="231F20"/>
          <w:spacing w:val="-2"/>
        </w:rPr>
        <w:t>your</w:t>
      </w:r>
      <w:r>
        <w:rPr>
          <w:color w:val="231F20"/>
          <w:spacing w:val="-9"/>
        </w:rPr>
        <w:t> </w:t>
      </w:r>
      <w:r>
        <w:rPr>
          <w:color w:val="231F20"/>
          <w:spacing w:val="-2"/>
        </w:rPr>
        <w:t>duty</w:t>
      </w:r>
      <w:r>
        <w:rPr>
          <w:color w:val="231F20"/>
          <w:spacing w:val="-9"/>
        </w:rPr>
        <w:t> </w:t>
      </w:r>
      <w:r>
        <w:rPr>
          <w:color w:val="231F20"/>
          <w:spacing w:val="-2"/>
        </w:rPr>
        <w:t>to</w:t>
      </w:r>
      <w:r>
        <w:rPr>
          <w:color w:val="231F20"/>
          <w:spacing w:val="-9"/>
        </w:rPr>
        <w:t> </w:t>
      </w:r>
      <w:r>
        <w:rPr>
          <w:color w:val="231F20"/>
          <w:spacing w:val="-2"/>
        </w:rPr>
        <w:t>disclose</w:t>
      </w:r>
      <w:r>
        <w:rPr>
          <w:color w:val="231F20"/>
          <w:spacing w:val="-9"/>
        </w:rPr>
        <w:t> </w:t>
      </w:r>
      <w:r>
        <w:rPr>
          <w:color w:val="231F20"/>
          <w:spacing w:val="-2"/>
        </w:rPr>
        <w:t>your</w:t>
      </w:r>
      <w:r>
        <w:rPr>
          <w:color w:val="231F20"/>
          <w:spacing w:val="-9"/>
        </w:rPr>
        <w:t> </w:t>
      </w:r>
      <w:r>
        <w:rPr>
          <w:color w:val="231F20"/>
          <w:spacing w:val="-2"/>
        </w:rPr>
        <w:t>knowledge</w:t>
      </w:r>
      <w:r>
        <w:rPr>
          <w:color w:val="231F20"/>
          <w:spacing w:val="-9"/>
        </w:rPr>
        <w:t> </w:t>
      </w:r>
      <w:r>
        <w:rPr>
          <w:color w:val="231F20"/>
          <w:spacing w:val="-2"/>
        </w:rPr>
        <w:t>about</w:t>
      </w:r>
      <w:r>
        <w:rPr>
          <w:color w:val="231F20"/>
          <w:spacing w:val="-9"/>
        </w:rPr>
        <w:t> </w:t>
      </w:r>
      <w:r>
        <w:rPr>
          <w:color w:val="231F20"/>
          <w:spacing w:val="-2"/>
        </w:rPr>
        <w:t>adverse </w:t>
      </w:r>
      <w:r>
        <w:rPr>
          <w:color w:val="231F20"/>
        </w:rPr>
        <w:t>conditions cannot be waived by your placing an “as-is” disclaimer in the purchase agreement. Property cannot be sold</w:t>
      </w:r>
      <w:r>
        <w:rPr>
          <w:color w:val="231F20"/>
          <w:spacing w:val="-13"/>
        </w:rPr>
        <w:t> </w:t>
      </w:r>
      <w:r>
        <w:rPr>
          <w:color w:val="231F20"/>
        </w:rPr>
        <w:t>“as</w:t>
      </w:r>
      <w:r>
        <w:rPr>
          <w:color w:val="231F20"/>
          <w:spacing w:val="-14"/>
        </w:rPr>
        <w:t> </w:t>
      </w:r>
      <w:r>
        <w:rPr>
          <w:color w:val="231F20"/>
        </w:rPr>
        <w:t>is”</w:t>
      </w:r>
      <w:r>
        <w:rPr>
          <w:color w:val="231F20"/>
          <w:spacing w:val="-13"/>
        </w:rPr>
        <w:t> </w:t>
      </w:r>
      <w:r>
        <w:rPr>
          <w:color w:val="231F20"/>
        </w:rPr>
        <w:t>without</w:t>
      </w:r>
      <w:r>
        <w:rPr>
          <w:color w:val="231F20"/>
          <w:spacing w:val="-13"/>
        </w:rPr>
        <w:t> </w:t>
      </w:r>
      <w:r>
        <w:rPr>
          <w:color w:val="231F20"/>
        </w:rPr>
        <w:t>disclosure.</w:t>
      </w:r>
      <w:r>
        <w:rPr>
          <w:color w:val="231F20"/>
          <w:spacing w:val="-14"/>
        </w:rPr>
        <w:t> </w:t>
      </w:r>
      <w:r>
        <w:rPr>
          <w:color w:val="231F20"/>
        </w:rPr>
        <w:t>Note:</w:t>
      </w:r>
      <w:r>
        <w:rPr>
          <w:color w:val="231F20"/>
          <w:spacing w:val="-13"/>
        </w:rPr>
        <w:t> </w:t>
      </w:r>
      <w:r>
        <w:rPr>
          <w:color w:val="231F20"/>
        </w:rPr>
        <w:t>you</w:t>
      </w:r>
      <w:r>
        <w:rPr>
          <w:color w:val="231F20"/>
          <w:spacing w:val="-13"/>
        </w:rPr>
        <w:t> </w:t>
      </w:r>
      <w:r>
        <w:rPr>
          <w:color w:val="231F20"/>
        </w:rPr>
        <w:t>and</w:t>
      </w:r>
      <w:r>
        <w:rPr>
          <w:color w:val="231F20"/>
          <w:spacing w:val="-14"/>
        </w:rPr>
        <w:t> </w:t>
      </w:r>
      <w:r>
        <w:rPr>
          <w:color w:val="231F20"/>
        </w:rPr>
        <w:t>your</w:t>
      </w:r>
      <w:r>
        <w:rPr>
          <w:color w:val="231F20"/>
          <w:spacing w:val="-13"/>
        </w:rPr>
        <w:t> </w:t>
      </w:r>
      <w:r>
        <w:rPr>
          <w:color w:val="231F20"/>
        </w:rPr>
        <w:t>agent</w:t>
      </w:r>
      <w:r>
        <w:rPr>
          <w:color w:val="231F20"/>
          <w:spacing w:val="-13"/>
        </w:rPr>
        <w:t> </w:t>
      </w:r>
      <w:r>
        <w:rPr>
          <w:color w:val="231F20"/>
        </w:rPr>
        <w:t>are both liable for monetary losses in pricing or costs incurred by the buyer due to the failure to disclose defects you or your agent knew or should have known existed when you entered into the purchase agreement.</w:t>
      </w:r>
    </w:p>
    <w:p>
      <w:pPr>
        <w:spacing w:after="0"/>
        <w:sectPr>
          <w:type w:val="continuous"/>
          <w:pgSz w:w="12240" w:h="15840"/>
          <w:pgMar w:top="720" w:bottom="280" w:left="620" w:right="600"/>
          <w:cols w:num="2" w:equalWidth="0">
            <w:col w:w="5364" w:space="215"/>
            <w:col w:w="5441"/>
          </w:cols>
        </w:sectPr>
      </w:pPr>
    </w:p>
    <w:p>
      <w:pPr>
        <w:pStyle w:val="BodyText"/>
        <w:spacing w:before="192"/>
        <w:ind w:left="0"/>
        <w:jc w:val="left"/>
      </w:pPr>
    </w:p>
    <w:p>
      <w:pPr>
        <w:spacing w:line="249" w:lineRule="auto" w:before="0"/>
        <w:ind w:left="776" w:right="836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pStyle w:val="BodyText"/>
        <w:spacing w:before="122"/>
        <w:ind w:left="778"/>
        <w:jc w:val="left"/>
      </w:pPr>
      <w:r>
        <w:rPr/>
        <w:drawing>
          <wp:anchor distT="0" distB="0" distL="0" distR="0" allowOverlap="1" layoutInCell="1" locked="0" behindDoc="0" simplePos="0" relativeHeight="15729152">
            <wp:simplePos x="0" y="0"/>
            <wp:positionH relativeFrom="page">
              <wp:posOffset>5689014</wp:posOffset>
            </wp:positionH>
            <wp:positionV relativeFrom="paragraph">
              <wp:posOffset>98059</wp:posOffset>
            </wp:positionV>
            <wp:extent cx="600807" cy="69290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600807" cy="692902"/>
                    </a:xfrm>
                    <a:prstGeom prst="rect">
                      <a:avLst/>
                    </a:prstGeom>
                  </pic:spPr>
                </pic:pic>
              </a:graphicData>
            </a:graphic>
          </wp:anchor>
        </w:drawing>
      </w:r>
      <w:r>
        <w:rPr/>
        <w:t>DRE</w:t>
      </w:r>
      <w:r>
        <w:rPr>
          <w:spacing w:val="-4"/>
        </w:rPr>
        <w:t> </w:t>
      </w:r>
      <w:r>
        <w:rPr/>
        <w:t>LIC#</w:t>
      </w:r>
      <w:r>
        <w:rPr>
          <w:spacing w:val="-1"/>
        </w:rPr>
        <w:t> </w:t>
      </w:r>
      <w:r>
        <w:rPr>
          <w:spacing w:val="-2"/>
        </w:rPr>
        <w:t>01474985</w:t>
      </w:r>
    </w:p>
    <w:p>
      <w:pPr>
        <w:pStyle w:val="BodyText"/>
        <w:spacing w:before="10"/>
        <w:ind w:left="778"/>
        <w:jc w:val="left"/>
      </w:pPr>
      <w:r>
        <w:rPr>
          <w:spacing w:val="-2"/>
        </w:rPr>
        <w:t>925-395-</w:t>
      </w:r>
      <w:r>
        <w:rPr>
          <w:spacing w:val="-4"/>
        </w:rPr>
        <w:t>0175</w:t>
      </w:r>
    </w:p>
    <w:p>
      <w:pPr>
        <w:pStyle w:val="BodyText"/>
        <w:spacing w:line="249" w:lineRule="auto" w:before="10"/>
        <w:ind w:left="778" w:right="5380"/>
        <w:jc w:val="left"/>
      </w:pPr>
      <w:hyperlink r:id="rId7">
        <w:r>
          <w:rPr>
            <w:spacing w:val="-2"/>
          </w:rPr>
          <w:t>christy@christyscarealty.com</w:t>
        </w:r>
      </w:hyperlink>
      <w:r>
        <w:rPr>
          <w:spacing w:val="-2"/>
        </w:rPr>
        <w:t> christyscaliforniarealty.com</w:t>
      </w:r>
    </w:p>
    <w:sectPr>
      <w:type w:val="continuous"/>
      <w:pgSz w:w="12240" w:h="15840"/>
      <w:pgMar w:top="72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41" w:hanging="270"/>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112" w:hanging="270"/>
      </w:pPr>
      <w:rPr>
        <w:rFonts w:hint="default"/>
        <w:lang w:val="en-US" w:eastAsia="en-US" w:bidi="ar-SA"/>
      </w:rPr>
    </w:lvl>
    <w:lvl w:ilvl="2">
      <w:start w:val="0"/>
      <w:numFmt w:val="bullet"/>
      <w:lvlText w:val="•"/>
      <w:lvlJc w:val="left"/>
      <w:pPr>
        <w:ind w:left="1584" w:hanging="270"/>
      </w:pPr>
      <w:rPr>
        <w:rFonts w:hint="default"/>
        <w:lang w:val="en-US" w:eastAsia="en-US" w:bidi="ar-SA"/>
      </w:rPr>
    </w:lvl>
    <w:lvl w:ilvl="3">
      <w:start w:val="0"/>
      <w:numFmt w:val="bullet"/>
      <w:lvlText w:val="•"/>
      <w:lvlJc w:val="left"/>
      <w:pPr>
        <w:ind w:left="2057" w:hanging="270"/>
      </w:pPr>
      <w:rPr>
        <w:rFonts w:hint="default"/>
        <w:lang w:val="en-US" w:eastAsia="en-US" w:bidi="ar-SA"/>
      </w:rPr>
    </w:lvl>
    <w:lvl w:ilvl="4">
      <w:start w:val="0"/>
      <w:numFmt w:val="bullet"/>
      <w:lvlText w:val="•"/>
      <w:lvlJc w:val="left"/>
      <w:pPr>
        <w:ind w:left="2529" w:hanging="270"/>
      </w:pPr>
      <w:rPr>
        <w:rFonts w:hint="default"/>
        <w:lang w:val="en-US" w:eastAsia="en-US" w:bidi="ar-SA"/>
      </w:rPr>
    </w:lvl>
    <w:lvl w:ilvl="5">
      <w:start w:val="0"/>
      <w:numFmt w:val="bullet"/>
      <w:lvlText w:val="•"/>
      <w:lvlJc w:val="left"/>
      <w:pPr>
        <w:ind w:left="3001" w:hanging="270"/>
      </w:pPr>
      <w:rPr>
        <w:rFonts w:hint="default"/>
        <w:lang w:val="en-US" w:eastAsia="en-US" w:bidi="ar-SA"/>
      </w:rPr>
    </w:lvl>
    <w:lvl w:ilvl="6">
      <w:start w:val="0"/>
      <w:numFmt w:val="bullet"/>
      <w:lvlText w:val="•"/>
      <w:lvlJc w:val="left"/>
      <w:pPr>
        <w:ind w:left="3474" w:hanging="270"/>
      </w:pPr>
      <w:rPr>
        <w:rFonts w:hint="default"/>
        <w:lang w:val="en-US" w:eastAsia="en-US" w:bidi="ar-SA"/>
      </w:rPr>
    </w:lvl>
    <w:lvl w:ilvl="7">
      <w:start w:val="0"/>
      <w:numFmt w:val="bullet"/>
      <w:lvlText w:val="•"/>
      <w:lvlJc w:val="left"/>
      <w:pPr>
        <w:ind w:left="3946" w:hanging="270"/>
      </w:pPr>
      <w:rPr>
        <w:rFonts w:hint="default"/>
        <w:lang w:val="en-US" w:eastAsia="en-US" w:bidi="ar-SA"/>
      </w:rPr>
    </w:lvl>
    <w:lvl w:ilvl="8">
      <w:start w:val="0"/>
      <w:numFmt w:val="bullet"/>
      <w:lvlText w:val="•"/>
      <w:lvlJc w:val="left"/>
      <w:pPr>
        <w:ind w:left="4418"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90"/>
      <w:ind w:left="641"/>
      <w:jc w:val="both"/>
    </w:pPr>
    <w:rPr>
      <w:rFonts w:ascii="Arial" w:hAnsi="Arial" w:eastAsia="Arial" w:cs="Arial"/>
      <w:sz w:val="20"/>
      <w:szCs w:val="20"/>
      <w:lang w:val="en-US" w:eastAsia="en-US" w:bidi="ar-SA"/>
    </w:rPr>
  </w:style>
  <w:style w:styleId="Title" w:type="paragraph">
    <w:name w:val="Title"/>
    <w:basedOn w:val="Normal"/>
    <w:uiPriority w:val="1"/>
    <w:qFormat/>
    <w:pPr>
      <w:spacing w:line="582" w:lineRule="exact"/>
    </w:pPr>
    <w:rPr>
      <w:rFonts w:ascii="Arial" w:hAnsi="Arial" w:eastAsia="Arial" w:cs="Arial"/>
      <w:b/>
      <w:bCs/>
      <w:sz w:val="52"/>
      <w:szCs w:val="52"/>
      <w:lang w:val="en-US" w:eastAsia="en-US" w:bidi="ar-SA"/>
    </w:rPr>
  </w:style>
  <w:style w:styleId="ListParagraph" w:type="paragraph">
    <w:name w:val="List Paragraph"/>
    <w:basedOn w:val="Normal"/>
    <w:uiPriority w:val="1"/>
    <w:qFormat/>
    <w:pPr>
      <w:spacing w:before="90"/>
      <w:ind w:left="641" w:right="117" w:hanging="27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2024-09-09T00:54:15Z</dcterms:created>
  <dcterms:modified xsi:type="dcterms:W3CDTF">2024-09-09T00:54:15Z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2024-09-09T00:00:00Z</vt:filetime>
  </property>
  <property fmtid="{D5CDD505-2E9C-101B-9397-08002B2CF9AE}" pid="5" name="Producer">
    <vt:lpwstr>Adobe LiveCycle Designer 11.0</vt:lpwstr>
  </property>
</Properties>
</file>