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39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429" w:top="0" w:bottom="1620" w:left="0" w:right="0"/>
          <w:pgNumType w:start="1"/>
        </w:sectPr>
      </w:pPr>
    </w:p>
    <w:p>
      <w:pPr>
        <w:pStyle w:val="BodyText"/>
        <w:spacing w:line="249" w:lineRule="auto" w:before="114"/>
        <w:ind w:left="148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-3154521</wp:posOffset>
                </wp:positionV>
                <wp:extent cx="7772400" cy="289306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772400" cy="2893060"/>
                          <a:chExt cx="7772400" cy="289306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2892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1828800"/>
                            <a:ext cx="777240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6426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3752"/>
                                </a:lnTo>
                                <a:lnTo>
                                  <a:pt x="7772400" y="106375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C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772400" cy="2893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165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1074" w:right="0" w:hanging="74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senior,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carry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forward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property’s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current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assessed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value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acquire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replacement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home?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48.387543pt;width:612pt;height:227.8pt;mso-position-horizontal-relative:page;mso-position-vertical-relative:paragraph;z-index:15728640" id="docshapegroup2" coordorigin="0,-4968" coordsize="12240,4556">
                <v:shape style="position:absolute;left:0;top:-4968;width:12240;height:4556" type="#_x0000_t75" id="docshape3" stroked="false">
                  <v:imagedata r:id="rId6" o:title=""/>
                </v:shape>
                <v:rect style="position:absolute;left:0;top:-2088;width:12240;height:1676" id="docshape4" filled="true" fillcolor="#0067ac" stroked="false">
                  <v:fill opacity="32768f" type="solid"/>
                </v:rect>
                <v:shape style="position:absolute;left:0;top:-4968;width:12240;height:4556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165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1074" w:right="0" w:hanging="74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sz w:val="44"/>
                          </w:rPr>
                          <w:t>As</w:t>
                        </w:r>
                        <w:r>
                          <w:rPr>
                            <w:color w:val="FFFFFF"/>
                            <w:spacing w:val="-16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a</w:t>
                        </w:r>
                        <w:r>
                          <w:rPr>
                            <w:color w:val="FFFFFF"/>
                            <w:spacing w:val="-16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senior,</w:t>
                        </w:r>
                        <w:r>
                          <w:rPr>
                            <w:color w:val="FFFFFF"/>
                            <w:spacing w:val="-16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can</w:t>
                        </w:r>
                        <w:r>
                          <w:rPr>
                            <w:color w:val="FFFFFF"/>
                            <w:spacing w:val="-16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I</w:t>
                        </w:r>
                        <w:r>
                          <w:rPr>
                            <w:color w:val="FFFFFF"/>
                            <w:spacing w:val="-16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carry</w:t>
                        </w:r>
                        <w:r>
                          <w:rPr>
                            <w:color w:val="FFFFFF"/>
                            <w:spacing w:val="-16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forward</w:t>
                        </w:r>
                        <w:r>
                          <w:rPr>
                            <w:color w:val="FFFFFF"/>
                            <w:spacing w:val="-16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my</w:t>
                        </w:r>
                        <w:r>
                          <w:rPr>
                            <w:color w:val="FFFFFF"/>
                            <w:spacing w:val="-16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property’s</w:t>
                        </w:r>
                        <w:r>
                          <w:rPr>
                            <w:color w:val="FFFFFF"/>
                            <w:spacing w:val="-16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current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assessed</w:t>
                        </w:r>
                        <w:r>
                          <w:rPr>
                            <w:color w:val="FFFFFF"/>
                            <w:spacing w:val="-27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value</w:t>
                        </w:r>
                        <w:r>
                          <w:rPr>
                            <w:color w:val="FFFFFF"/>
                            <w:spacing w:val="-27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when</w:t>
                        </w:r>
                        <w:r>
                          <w:rPr>
                            <w:color w:val="FFFFFF"/>
                            <w:spacing w:val="-27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I</w:t>
                        </w:r>
                        <w:r>
                          <w:rPr>
                            <w:color w:val="FFFFFF"/>
                            <w:spacing w:val="-27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acquire</w:t>
                        </w:r>
                        <w:r>
                          <w:rPr>
                            <w:color w:val="FFFFFF"/>
                            <w:spacing w:val="-27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a</w:t>
                        </w:r>
                        <w:r>
                          <w:rPr>
                            <w:color w:val="FFFFFF"/>
                            <w:spacing w:val="-27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replacement</w:t>
                        </w:r>
                        <w:r>
                          <w:rPr>
                            <w:color w:val="FFFFFF"/>
                            <w:spacing w:val="-27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home?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506152</wp:posOffset>
                </wp:positionH>
                <wp:positionV relativeFrom="paragraph">
                  <wp:posOffset>2653</wp:posOffset>
                </wp:positionV>
                <wp:extent cx="346075" cy="41592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46075" cy="415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0" w:right="0" w:firstLine="0"/>
                              <w:jc w:val="left"/>
                              <w:rPr>
                                <w:b/>
                                <w:sz w:val="53"/>
                              </w:rPr>
                            </w:pPr>
                            <w:r>
                              <w:rPr>
                                <w:b/>
                                <w:color w:val="0067AC"/>
                                <w:spacing w:val="-14"/>
                                <w:sz w:val="53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8545pt;margin-top:.208974pt;width:27.25pt;height:32.75pt;mso-position-horizontal-relative:page;mso-position-vertical-relative:paragraph;z-index:-15781888" type="#_x0000_t202" id="docshape6" filled="false" stroked="false">
                <v:textbox inset="0,0,0,0">
                  <w:txbxContent>
                    <w:p>
                      <w:pPr>
                        <w:spacing w:before="40"/>
                        <w:ind w:left="0" w:right="0" w:firstLine="0"/>
                        <w:jc w:val="left"/>
                        <w:rPr>
                          <w:b/>
                          <w:sz w:val="53"/>
                        </w:rPr>
                      </w:pPr>
                      <w:r>
                        <w:rPr>
                          <w:b/>
                          <w:color w:val="0067AC"/>
                          <w:spacing w:val="-14"/>
                          <w:sz w:val="53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110"/>
        </w:rPr>
        <w:t>If you’re a California homeowner aged 55 or older,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once-in-a-lifetime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right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-5"/>
          <w:w w:val="110"/>
        </w:rPr>
        <w:t>to</w:t>
      </w:r>
    </w:p>
    <w:p>
      <w:pPr>
        <w:pStyle w:val="BodyText"/>
        <w:spacing w:line="249" w:lineRule="auto" w:before="1"/>
        <w:ind w:left="809"/>
        <w:jc w:val="both"/>
      </w:pPr>
      <w:r>
        <w:rPr>
          <w:color w:val="231F20"/>
          <w:w w:val="110"/>
        </w:rPr>
        <w:t>sell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home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carry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forward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its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current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assessed value to a replacement residence of equal or </w:t>
      </w:r>
      <w:r>
        <w:rPr>
          <w:color w:val="231F20"/>
          <w:w w:val="110"/>
        </w:rPr>
        <w:t>lesser </w:t>
      </w:r>
      <w:r>
        <w:rPr>
          <w:color w:val="231F20"/>
          <w:spacing w:val="-2"/>
          <w:w w:val="110"/>
        </w:rPr>
        <w:t>value.</w:t>
      </w:r>
    </w:p>
    <w:p>
      <w:pPr>
        <w:pStyle w:val="BodyText"/>
        <w:spacing w:before="123"/>
        <w:ind w:left="809"/>
        <w:jc w:val="both"/>
      </w:pPr>
      <w:r>
        <w:rPr>
          <w:color w:val="231F20"/>
        </w:rPr>
        <w:t>To</w:t>
      </w:r>
      <w:r>
        <w:rPr>
          <w:color w:val="231F20"/>
          <w:spacing w:val="27"/>
        </w:rPr>
        <w:t> </w:t>
      </w:r>
      <w:r>
        <w:rPr>
          <w:color w:val="231F20"/>
        </w:rPr>
        <w:t>qualify</w:t>
      </w:r>
      <w:r>
        <w:rPr>
          <w:color w:val="231F20"/>
          <w:spacing w:val="27"/>
        </w:rPr>
        <w:t> </w:t>
      </w:r>
      <w:r>
        <w:rPr>
          <w:color w:val="231F20"/>
        </w:rPr>
        <w:t>to</w:t>
      </w:r>
      <w:r>
        <w:rPr>
          <w:color w:val="231F20"/>
          <w:spacing w:val="27"/>
        </w:rPr>
        <w:t> </w:t>
      </w:r>
      <w:r>
        <w:rPr>
          <w:color w:val="231F20"/>
        </w:rPr>
        <w:t>carry</w:t>
      </w:r>
      <w:r>
        <w:rPr>
          <w:color w:val="231F20"/>
          <w:spacing w:val="27"/>
        </w:rPr>
        <w:t> </w:t>
      </w:r>
      <w:r>
        <w:rPr>
          <w:color w:val="231F20"/>
        </w:rPr>
        <w:t>forward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current</w:t>
      </w:r>
      <w:r>
        <w:rPr>
          <w:color w:val="231F20"/>
          <w:spacing w:val="26"/>
        </w:rPr>
        <w:t> </w:t>
      </w:r>
      <w:r>
        <w:rPr>
          <w:color w:val="231F20"/>
        </w:rPr>
        <w:t>assessed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value: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9" w:lineRule="auto" w:before="130" w:after="0"/>
        <w:ind w:left="1169" w:right="1" w:hanging="270"/>
        <w:jc w:val="both"/>
        <w:rPr>
          <w:sz w:val="20"/>
        </w:rPr>
      </w:pPr>
      <w:r>
        <w:rPr>
          <w:color w:val="231F20"/>
          <w:w w:val="115"/>
          <w:sz w:val="20"/>
        </w:rPr>
        <w:t>you</w:t>
      </w:r>
      <w:r>
        <w:rPr>
          <w:color w:val="231F20"/>
          <w:spacing w:val="-2"/>
          <w:w w:val="115"/>
          <w:sz w:val="20"/>
        </w:rPr>
        <w:t> </w:t>
      </w:r>
      <w:r>
        <w:rPr>
          <w:color w:val="231F20"/>
          <w:w w:val="115"/>
          <w:sz w:val="20"/>
        </w:rPr>
        <w:t>need</w:t>
      </w:r>
      <w:r>
        <w:rPr>
          <w:color w:val="231F20"/>
          <w:spacing w:val="-2"/>
          <w:w w:val="115"/>
          <w:sz w:val="20"/>
        </w:rPr>
        <w:t> </w:t>
      </w:r>
      <w:r>
        <w:rPr>
          <w:color w:val="231F20"/>
          <w:w w:val="115"/>
          <w:sz w:val="20"/>
        </w:rPr>
        <w:t>to</w:t>
      </w:r>
      <w:r>
        <w:rPr>
          <w:color w:val="231F20"/>
          <w:spacing w:val="-2"/>
          <w:w w:val="115"/>
          <w:sz w:val="20"/>
        </w:rPr>
        <w:t> </w:t>
      </w:r>
      <w:r>
        <w:rPr>
          <w:color w:val="231F20"/>
          <w:w w:val="115"/>
          <w:sz w:val="20"/>
        </w:rPr>
        <w:t>own</w:t>
      </w:r>
      <w:r>
        <w:rPr>
          <w:color w:val="231F20"/>
          <w:spacing w:val="-2"/>
          <w:w w:val="115"/>
          <w:sz w:val="20"/>
        </w:rPr>
        <w:t> </w:t>
      </w:r>
      <w:r>
        <w:rPr>
          <w:color w:val="231F20"/>
          <w:w w:val="115"/>
          <w:sz w:val="20"/>
        </w:rPr>
        <w:t>and</w:t>
      </w:r>
      <w:r>
        <w:rPr>
          <w:color w:val="231F20"/>
          <w:spacing w:val="-2"/>
          <w:w w:val="115"/>
          <w:sz w:val="20"/>
        </w:rPr>
        <w:t> </w:t>
      </w:r>
      <w:r>
        <w:rPr>
          <w:color w:val="231F20"/>
          <w:w w:val="115"/>
          <w:sz w:val="20"/>
        </w:rPr>
        <w:t>occupy</w:t>
      </w:r>
      <w:r>
        <w:rPr>
          <w:color w:val="231F20"/>
          <w:spacing w:val="-2"/>
          <w:w w:val="115"/>
          <w:sz w:val="20"/>
        </w:rPr>
        <w:t> </w:t>
      </w:r>
      <w:r>
        <w:rPr>
          <w:color w:val="231F20"/>
          <w:w w:val="115"/>
          <w:sz w:val="20"/>
        </w:rPr>
        <w:t>the</w:t>
      </w:r>
      <w:r>
        <w:rPr>
          <w:color w:val="231F20"/>
          <w:spacing w:val="-2"/>
          <w:w w:val="115"/>
          <w:sz w:val="20"/>
        </w:rPr>
        <w:t> </w:t>
      </w:r>
      <w:r>
        <w:rPr>
          <w:color w:val="231F20"/>
          <w:w w:val="115"/>
          <w:sz w:val="20"/>
        </w:rPr>
        <w:t>home</w:t>
      </w:r>
      <w:r>
        <w:rPr>
          <w:color w:val="231F20"/>
          <w:spacing w:val="-2"/>
          <w:w w:val="115"/>
          <w:sz w:val="20"/>
        </w:rPr>
        <w:t> </w:t>
      </w:r>
      <w:r>
        <w:rPr>
          <w:color w:val="231F20"/>
          <w:w w:val="115"/>
          <w:sz w:val="20"/>
        </w:rPr>
        <w:t>sold</w:t>
      </w:r>
      <w:r>
        <w:rPr>
          <w:color w:val="231F20"/>
          <w:spacing w:val="-2"/>
          <w:w w:val="115"/>
          <w:sz w:val="20"/>
        </w:rPr>
        <w:t> </w:t>
      </w:r>
      <w:r>
        <w:rPr>
          <w:color w:val="231F20"/>
          <w:w w:val="115"/>
          <w:sz w:val="20"/>
        </w:rPr>
        <w:t>as well as the replacement home;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40" w:lineRule="auto" w:before="121" w:after="0"/>
        <w:ind w:left="1168" w:right="0" w:hanging="269"/>
        <w:jc w:val="left"/>
        <w:rPr>
          <w:sz w:val="20"/>
        </w:rPr>
      </w:pPr>
      <w:r>
        <w:rPr>
          <w:color w:val="231F20"/>
          <w:w w:val="110"/>
          <w:sz w:val="20"/>
        </w:rPr>
        <w:t>both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homes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must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be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eligible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for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homeowner’s</w:t>
      </w:r>
    </w:p>
    <w:p>
      <w:pPr>
        <w:pStyle w:val="BodyText"/>
        <w:spacing w:before="10"/>
        <w:ind w:left="1169"/>
      </w:pPr>
      <w:r>
        <w:rPr>
          <w:color w:val="231F20"/>
        </w:rPr>
        <w:t>$7,000</w:t>
      </w:r>
      <w:r>
        <w:rPr>
          <w:color w:val="231F20"/>
          <w:spacing w:val="35"/>
        </w:rPr>
        <w:t> </w:t>
      </w:r>
      <w:r>
        <w:rPr>
          <w:color w:val="231F20"/>
        </w:rPr>
        <w:t>property</w:t>
      </w:r>
      <w:r>
        <w:rPr>
          <w:color w:val="231F20"/>
          <w:spacing w:val="35"/>
        </w:rPr>
        <w:t> </w:t>
      </w:r>
      <w:r>
        <w:rPr>
          <w:color w:val="231F20"/>
        </w:rPr>
        <w:t>tax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exemption;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9" w:lineRule="auto" w:before="130" w:after="0"/>
        <w:ind w:left="1169" w:right="0" w:hanging="270"/>
        <w:jc w:val="both"/>
        <w:rPr>
          <w:sz w:val="20"/>
        </w:rPr>
      </w:pPr>
      <w:r>
        <w:rPr>
          <w:color w:val="231F20"/>
          <w:sz w:val="20"/>
        </w:rPr>
        <w:t>you or your spouse must be at least 55 years old or </w:t>
      </w:r>
      <w:r>
        <w:rPr>
          <w:color w:val="231F20"/>
          <w:w w:val="110"/>
          <w:sz w:val="20"/>
        </w:rPr>
        <w:t>severely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permanently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disabled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on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closing date of the sale of your old home;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  <w:tab w:pos="1169" w:val="left" w:leader="none"/>
        </w:tabs>
        <w:spacing w:line="249" w:lineRule="auto" w:before="123" w:after="0"/>
        <w:ind w:left="1169" w:right="0" w:hanging="271"/>
        <w:jc w:val="both"/>
        <w:rPr>
          <w:sz w:val="20"/>
        </w:rPr>
      </w:pPr>
      <w:r>
        <w:rPr>
          <w:color w:val="231F20"/>
          <w:w w:val="115"/>
          <w:sz w:val="20"/>
        </w:rPr>
        <w:t>you</w:t>
      </w:r>
      <w:r>
        <w:rPr>
          <w:color w:val="231F20"/>
          <w:w w:val="115"/>
          <w:sz w:val="20"/>
        </w:rPr>
        <w:t> need</w:t>
      </w:r>
      <w:r>
        <w:rPr>
          <w:color w:val="231F20"/>
          <w:w w:val="115"/>
          <w:sz w:val="20"/>
        </w:rPr>
        <w:t> to</w:t>
      </w:r>
      <w:r>
        <w:rPr>
          <w:color w:val="231F20"/>
          <w:w w:val="115"/>
          <w:sz w:val="20"/>
        </w:rPr>
        <w:t> purchase</w:t>
      </w:r>
      <w:r>
        <w:rPr>
          <w:color w:val="231F20"/>
          <w:w w:val="115"/>
          <w:sz w:val="20"/>
        </w:rPr>
        <w:t> (or</w:t>
      </w:r>
      <w:r>
        <w:rPr>
          <w:color w:val="231F20"/>
          <w:w w:val="115"/>
          <w:sz w:val="20"/>
        </w:rPr>
        <w:t> construct)</w:t>
      </w:r>
      <w:r>
        <w:rPr>
          <w:color w:val="231F20"/>
          <w:w w:val="115"/>
          <w:sz w:val="20"/>
        </w:rPr>
        <w:t> a replacement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home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of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equal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or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lesser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value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than the home you sold;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40" w:lineRule="auto" w:before="122" w:after="0"/>
        <w:ind w:left="1168" w:right="0" w:hanging="269"/>
        <w:jc w:val="left"/>
        <w:rPr>
          <w:sz w:val="20"/>
        </w:rPr>
      </w:pPr>
      <w:r>
        <w:rPr>
          <w:color w:val="231F20"/>
          <w:w w:val="110"/>
          <w:sz w:val="20"/>
        </w:rPr>
        <w:t>the</w:t>
      </w:r>
      <w:r>
        <w:rPr>
          <w:color w:val="231F20"/>
          <w:spacing w:val="5"/>
          <w:w w:val="110"/>
          <w:sz w:val="20"/>
        </w:rPr>
        <w:t> </w:t>
      </w:r>
      <w:r>
        <w:rPr>
          <w:color w:val="231F20"/>
          <w:w w:val="110"/>
          <w:sz w:val="20"/>
        </w:rPr>
        <w:t>replacement</w:t>
      </w:r>
      <w:r>
        <w:rPr>
          <w:color w:val="231F20"/>
          <w:spacing w:val="5"/>
          <w:w w:val="110"/>
          <w:sz w:val="20"/>
        </w:rPr>
        <w:t> </w:t>
      </w:r>
      <w:r>
        <w:rPr>
          <w:color w:val="231F20"/>
          <w:w w:val="110"/>
          <w:sz w:val="20"/>
        </w:rPr>
        <w:t>residence</w:t>
      </w:r>
      <w:r>
        <w:rPr>
          <w:color w:val="231F20"/>
          <w:spacing w:val="6"/>
          <w:w w:val="110"/>
          <w:sz w:val="20"/>
        </w:rPr>
        <w:t> </w:t>
      </w:r>
      <w:r>
        <w:rPr>
          <w:color w:val="231F20"/>
          <w:w w:val="110"/>
          <w:sz w:val="20"/>
        </w:rPr>
        <w:t>must</w:t>
      </w:r>
      <w:r>
        <w:rPr>
          <w:color w:val="231F20"/>
          <w:spacing w:val="5"/>
          <w:w w:val="110"/>
          <w:sz w:val="20"/>
        </w:rPr>
        <w:t> </w:t>
      </w:r>
      <w:r>
        <w:rPr>
          <w:color w:val="231F20"/>
          <w:w w:val="110"/>
          <w:sz w:val="20"/>
        </w:rPr>
        <w:t>be</w:t>
      </w:r>
      <w:r>
        <w:rPr>
          <w:color w:val="231F20"/>
          <w:spacing w:val="6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located:</w:t>
      </w:r>
    </w:p>
    <w:p>
      <w:pPr>
        <w:pStyle w:val="ListParagraph"/>
        <w:numPr>
          <w:ilvl w:val="1"/>
          <w:numId w:val="1"/>
        </w:numPr>
        <w:tabs>
          <w:tab w:pos="1438" w:val="left" w:leader="none"/>
        </w:tabs>
        <w:spacing w:line="240" w:lineRule="auto" w:before="130" w:after="0"/>
        <w:ind w:left="1438" w:right="0" w:hanging="269"/>
        <w:jc w:val="left"/>
        <w:rPr>
          <w:sz w:val="20"/>
        </w:rPr>
      </w:pPr>
      <w:r>
        <w:rPr>
          <w:color w:val="231F20"/>
          <w:w w:val="110"/>
          <w:sz w:val="20"/>
        </w:rPr>
        <w:t>in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  <w:sz w:val="20"/>
        </w:rPr>
        <w:t>same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  <w:sz w:val="20"/>
        </w:rPr>
        <w:t>county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  <w:sz w:val="20"/>
        </w:rPr>
        <w:t>as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  <w:sz w:val="20"/>
        </w:rPr>
        <w:t>property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  <w:sz w:val="20"/>
        </w:rPr>
        <w:t>sold;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spacing w:val="-5"/>
          <w:w w:val="110"/>
          <w:sz w:val="20"/>
        </w:rPr>
        <w:t>or</w:t>
      </w:r>
    </w:p>
    <w:p>
      <w:pPr>
        <w:pStyle w:val="ListParagraph"/>
        <w:numPr>
          <w:ilvl w:val="1"/>
          <w:numId w:val="1"/>
        </w:numPr>
        <w:tabs>
          <w:tab w:pos="1438" w:val="left" w:leader="none"/>
        </w:tabs>
        <w:spacing w:line="240" w:lineRule="auto" w:before="10" w:after="0"/>
        <w:ind w:left="1438" w:right="0" w:hanging="269"/>
        <w:jc w:val="left"/>
        <w:rPr>
          <w:sz w:val="20"/>
        </w:rPr>
      </w:pPr>
      <w:r>
        <w:rPr>
          <w:color w:val="231F20"/>
          <w:w w:val="110"/>
          <w:sz w:val="20"/>
        </w:rPr>
        <w:t>within</w:t>
      </w:r>
      <w:r>
        <w:rPr>
          <w:color w:val="231F20"/>
          <w:spacing w:val="15"/>
          <w:w w:val="110"/>
          <w:sz w:val="20"/>
        </w:rPr>
        <w:t> </w:t>
      </w:r>
      <w:r>
        <w:rPr>
          <w:color w:val="231F20"/>
          <w:w w:val="110"/>
          <w:sz w:val="20"/>
        </w:rPr>
        <w:t>another</w:t>
      </w:r>
      <w:r>
        <w:rPr>
          <w:color w:val="231F20"/>
          <w:spacing w:val="16"/>
          <w:w w:val="110"/>
          <w:sz w:val="20"/>
        </w:rPr>
        <w:t> </w:t>
      </w:r>
      <w:r>
        <w:rPr>
          <w:color w:val="231F20"/>
          <w:w w:val="110"/>
          <w:sz w:val="20"/>
        </w:rPr>
        <w:t>participating</w:t>
      </w:r>
      <w:r>
        <w:rPr>
          <w:color w:val="231F20"/>
          <w:spacing w:val="15"/>
          <w:w w:val="110"/>
          <w:sz w:val="20"/>
        </w:rPr>
        <w:t> </w:t>
      </w:r>
      <w:r>
        <w:rPr>
          <w:color w:val="231F20"/>
          <w:w w:val="110"/>
          <w:sz w:val="20"/>
        </w:rPr>
        <w:t>county;</w:t>
      </w:r>
      <w:r>
        <w:rPr>
          <w:color w:val="231F20"/>
          <w:spacing w:val="16"/>
          <w:w w:val="110"/>
          <w:sz w:val="20"/>
        </w:rPr>
        <w:t> </w:t>
      </w:r>
      <w:r>
        <w:rPr>
          <w:color w:val="231F20"/>
          <w:spacing w:val="-5"/>
          <w:w w:val="110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9" w:lineRule="auto" w:before="130" w:after="0"/>
        <w:ind w:left="1169" w:right="0" w:hanging="270"/>
        <w:jc w:val="both"/>
        <w:rPr>
          <w:sz w:val="20"/>
        </w:rPr>
      </w:pPr>
      <w:r>
        <w:rPr>
          <w:color w:val="231F20"/>
          <w:w w:val="110"/>
          <w:sz w:val="20"/>
        </w:rPr>
        <w:t>the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purchase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(or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construction)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replacement home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needs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close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(or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construction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completed) within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two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years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before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after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closing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sale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of your old home.</w:t>
      </w:r>
    </w:p>
    <w:p>
      <w:pPr>
        <w:pStyle w:val="BodyText"/>
        <w:spacing w:line="249" w:lineRule="auto" w:before="114"/>
        <w:ind w:left="409" w:right="717"/>
        <w:jc w:val="both"/>
      </w:pPr>
      <w:r>
        <w:rPr/>
        <w:br w:type="column"/>
      </w:r>
      <w:r>
        <w:rPr>
          <w:color w:val="231F20"/>
          <w:w w:val="110"/>
        </w:rPr>
        <w:t>When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replacement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home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within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same county</w:t>
      </w:r>
      <w:r>
        <w:rPr>
          <w:color w:val="231F20"/>
          <w:w w:val="110"/>
        </w:rPr>
        <w:t> as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home</w:t>
      </w:r>
      <w:r>
        <w:rPr>
          <w:color w:val="231F20"/>
          <w:w w:val="110"/>
        </w:rPr>
        <w:t> you</w:t>
      </w:r>
      <w:r>
        <w:rPr>
          <w:color w:val="231F20"/>
          <w:w w:val="110"/>
        </w:rPr>
        <w:t> sold,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county</w:t>
      </w:r>
      <w:r>
        <w:rPr>
          <w:color w:val="231F20"/>
          <w:w w:val="110"/>
        </w:rPr>
        <w:t> of</w:t>
      </w:r>
      <w:r>
        <w:rPr>
          <w:color w:val="231F20"/>
          <w:w w:val="110"/>
        </w:rPr>
        <w:t> your replacement</w:t>
      </w:r>
      <w:r>
        <w:rPr>
          <w:color w:val="231F20"/>
          <w:w w:val="110"/>
        </w:rPr>
        <w:t> property</w:t>
      </w:r>
      <w:r>
        <w:rPr>
          <w:color w:val="231F20"/>
          <w:w w:val="110"/>
        </w:rPr>
        <w:t> needs</w:t>
      </w:r>
      <w:r>
        <w:rPr>
          <w:color w:val="231F20"/>
          <w:w w:val="110"/>
        </w:rPr>
        <w:t> to</w:t>
      </w:r>
      <w:r>
        <w:rPr>
          <w:color w:val="231F20"/>
          <w:w w:val="110"/>
        </w:rPr>
        <w:t> be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participating county</w:t>
      </w:r>
      <w:r>
        <w:rPr>
          <w:color w:val="231F20"/>
          <w:w w:val="110"/>
        </w:rPr>
        <w:t> which</w:t>
      </w:r>
      <w:r>
        <w:rPr>
          <w:color w:val="231F20"/>
          <w:w w:val="110"/>
        </w:rPr>
        <w:t> allows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carry-forward</w:t>
      </w:r>
      <w:r>
        <w:rPr>
          <w:color w:val="231F20"/>
          <w:w w:val="110"/>
        </w:rPr>
        <w:t> assessment from</w:t>
      </w:r>
      <w:r>
        <w:rPr>
          <w:color w:val="231F20"/>
          <w:w w:val="110"/>
        </w:rPr>
        <w:t> your</w:t>
      </w:r>
      <w:r>
        <w:rPr>
          <w:color w:val="231F20"/>
          <w:w w:val="110"/>
        </w:rPr>
        <w:t> prior</w:t>
      </w:r>
      <w:r>
        <w:rPr>
          <w:color w:val="231F20"/>
          <w:w w:val="110"/>
        </w:rPr>
        <w:t> county.</w:t>
      </w:r>
      <w:r>
        <w:rPr>
          <w:color w:val="231F20"/>
          <w:w w:val="110"/>
        </w:rPr>
        <w:t> Currently</w:t>
      </w:r>
      <w:r>
        <w:rPr>
          <w:color w:val="231F20"/>
          <w:w w:val="110"/>
        </w:rPr>
        <w:t> participating counties</w:t>
      </w:r>
      <w:r>
        <w:rPr>
          <w:color w:val="231F20"/>
          <w:w w:val="110"/>
        </w:rPr>
        <w:t> include</w:t>
      </w:r>
      <w:r>
        <w:rPr>
          <w:color w:val="231F20"/>
          <w:w w:val="110"/>
        </w:rPr>
        <w:t> Alameda,</w:t>
      </w:r>
      <w:r>
        <w:rPr>
          <w:color w:val="231F20"/>
          <w:w w:val="110"/>
        </w:rPr>
        <w:t> El</w:t>
      </w:r>
      <w:r>
        <w:rPr>
          <w:color w:val="231F20"/>
          <w:w w:val="110"/>
        </w:rPr>
        <w:t> Dorado,</w:t>
      </w:r>
      <w:r>
        <w:rPr>
          <w:color w:val="231F20"/>
          <w:w w:val="110"/>
        </w:rPr>
        <w:t> Los</w:t>
      </w:r>
      <w:r>
        <w:rPr>
          <w:color w:val="231F20"/>
          <w:w w:val="110"/>
        </w:rPr>
        <w:t> Angeles, Orange,</w:t>
      </w:r>
      <w:r>
        <w:rPr>
          <w:color w:val="231F20"/>
          <w:w w:val="110"/>
        </w:rPr>
        <w:t> Riverside,</w:t>
      </w:r>
      <w:r>
        <w:rPr>
          <w:color w:val="231F20"/>
          <w:w w:val="110"/>
        </w:rPr>
        <w:t> San</w:t>
      </w:r>
      <w:r>
        <w:rPr>
          <w:color w:val="231F20"/>
          <w:w w:val="110"/>
        </w:rPr>
        <w:t> Bernardino,</w:t>
      </w:r>
      <w:r>
        <w:rPr>
          <w:color w:val="231F20"/>
          <w:w w:val="110"/>
        </w:rPr>
        <w:t> San</w:t>
      </w:r>
      <w:r>
        <w:rPr>
          <w:color w:val="231F20"/>
          <w:w w:val="110"/>
        </w:rPr>
        <w:t> Diego,</w:t>
      </w:r>
      <w:r>
        <w:rPr>
          <w:color w:val="231F20"/>
          <w:w w:val="110"/>
        </w:rPr>
        <w:t> San Mateo,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Santa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Clara,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Tuolumne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Ventura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counties (subject to change).</w:t>
      </w:r>
    </w:p>
    <w:p>
      <w:pPr>
        <w:pStyle w:val="BodyText"/>
        <w:spacing w:line="249" w:lineRule="auto" w:before="127"/>
        <w:ind w:left="409" w:right="717"/>
        <w:jc w:val="both"/>
      </w:pPr>
      <w:r>
        <w:rPr>
          <w:color w:val="231F20"/>
          <w:w w:val="110"/>
        </w:rPr>
        <w:t>Only</w:t>
      </w:r>
      <w:r>
        <w:rPr>
          <w:color w:val="231F20"/>
          <w:w w:val="110"/>
        </w:rPr>
        <w:t> one</w:t>
      </w:r>
      <w:r>
        <w:rPr>
          <w:color w:val="231F20"/>
          <w:w w:val="110"/>
        </w:rPr>
        <w:t> carry-forward</w:t>
      </w:r>
      <w:r>
        <w:rPr>
          <w:color w:val="231F20"/>
          <w:w w:val="110"/>
        </w:rPr>
        <w:t> assessment</w:t>
      </w:r>
      <w:r>
        <w:rPr>
          <w:color w:val="231F20"/>
          <w:w w:val="110"/>
        </w:rPr>
        <w:t> exemption</w:t>
      </w:r>
      <w:r>
        <w:rPr>
          <w:color w:val="231F20"/>
          <w:w w:val="110"/>
        </w:rPr>
        <w:t> is allowed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per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married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couple.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example,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married couple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takes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carry-forward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assessment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exemption, and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spouse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later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dies,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surviving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spouse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may not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take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carry-forward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assessment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exemption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even if they later remarry.</w:t>
      </w:r>
    </w:p>
    <w:p>
      <w:pPr>
        <w:pStyle w:val="BodyText"/>
        <w:spacing w:line="249" w:lineRule="auto" w:before="125"/>
        <w:ind w:left="409" w:right="717"/>
        <w:jc w:val="both"/>
      </w:pPr>
      <w:r>
        <w:rPr>
          <w:color w:val="231F20"/>
          <w:w w:val="105"/>
        </w:rPr>
        <w:t>When you and a co-owner both reside in the home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married,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both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individually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qualify for</w:t>
      </w:r>
      <w:r>
        <w:rPr>
          <w:color w:val="231F20"/>
          <w:w w:val="105"/>
        </w:rPr>
        <w:t> the</w:t>
      </w:r>
      <w:r>
        <w:rPr>
          <w:color w:val="231F20"/>
          <w:w w:val="105"/>
        </w:rPr>
        <w:t> carry-forward</w:t>
      </w:r>
      <w:r>
        <w:rPr>
          <w:color w:val="231F20"/>
          <w:w w:val="105"/>
        </w:rPr>
        <w:t> assessment.</w:t>
      </w:r>
      <w:r>
        <w:rPr>
          <w:color w:val="231F20"/>
          <w:w w:val="105"/>
        </w:rPr>
        <w:t> However,</w:t>
      </w:r>
      <w:r>
        <w:rPr>
          <w:color w:val="231F20"/>
          <w:w w:val="105"/>
        </w:rPr>
        <w:t> on</w:t>
      </w:r>
      <w:r>
        <w:rPr>
          <w:color w:val="231F20"/>
          <w:w w:val="105"/>
        </w:rPr>
        <w:t> the sale, only one of you may use the exemption. Thus,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co-owner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does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apply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exemption is</w:t>
      </w:r>
      <w:r>
        <w:rPr>
          <w:color w:val="231F20"/>
          <w:w w:val="105"/>
        </w:rPr>
        <w:t> precluded</w:t>
      </w:r>
      <w:r>
        <w:rPr>
          <w:color w:val="231F20"/>
          <w:w w:val="105"/>
        </w:rPr>
        <w:t> from</w:t>
      </w:r>
      <w:r>
        <w:rPr>
          <w:color w:val="231F20"/>
          <w:w w:val="105"/>
        </w:rPr>
        <w:t> any</w:t>
      </w:r>
      <w:r>
        <w:rPr>
          <w:color w:val="231F20"/>
          <w:w w:val="105"/>
        </w:rPr>
        <w:t> future</w:t>
      </w:r>
      <w:r>
        <w:rPr>
          <w:color w:val="231F20"/>
          <w:w w:val="105"/>
        </w:rPr>
        <w:t> use</w:t>
      </w:r>
      <w:r>
        <w:rPr>
          <w:color w:val="231F20"/>
          <w:w w:val="105"/>
        </w:rPr>
        <w:t> of</w:t>
      </w:r>
      <w:r>
        <w:rPr>
          <w:color w:val="231F20"/>
          <w:w w:val="105"/>
        </w:rPr>
        <w:t> the</w:t>
      </w:r>
      <w:r>
        <w:rPr>
          <w:color w:val="231F20"/>
          <w:w w:val="105"/>
        </w:rPr>
        <w:t> assessment carry-forward tax relief.</w:t>
      </w:r>
    </w:p>
    <w:p>
      <w:pPr>
        <w:pStyle w:val="BodyText"/>
        <w:spacing w:line="249" w:lineRule="auto" w:before="126"/>
        <w:ind w:left="409" w:right="717"/>
        <w:jc w:val="both"/>
      </w:pPr>
      <w:r>
        <w:rPr>
          <w:color w:val="231F20"/>
          <w:w w:val="110"/>
        </w:rPr>
        <w:t>The</w:t>
      </w:r>
      <w:r>
        <w:rPr>
          <w:color w:val="231F20"/>
          <w:w w:val="110"/>
        </w:rPr>
        <w:t> only</w:t>
      </w:r>
      <w:r>
        <w:rPr>
          <w:color w:val="231F20"/>
          <w:w w:val="110"/>
        </w:rPr>
        <w:t> exception</w:t>
      </w:r>
      <w:r>
        <w:rPr>
          <w:color w:val="231F20"/>
          <w:w w:val="110"/>
        </w:rPr>
        <w:t> is</w:t>
      </w:r>
      <w:r>
        <w:rPr>
          <w:color w:val="231F20"/>
          <w:w w:val="110"/>
        </w:rPr>
        <w:t> when</w:t>
      </w:r>
      <w:r>
        <w:rPr>
          <w:color w:val="231F20"/>
          <w:w w:val="110"/>
        </w:rPr>
        <w:t> you</w:t>
      </w:r>
      <w:r>
        <w:rPr>
          <w:color w:val="231F20"/>
          <w:w w:val="110"/>
        </w:rPr>
        <w:t> become</w:t>
      </w:r>
      <w:r>
        <w:rPr>
          <w:color w:val="231F20"/>
          <w:w w:val="110"/>
        </w:rPr>
        <w:t> severely and permanently disabled after receiving the carry- forward tax relief due to your age. In this case, you may</w:t>
      </w:r>
      <w:r>
        <w:rPr>
          <w:color w:val="231F20"/>
          <w:w w:val="110"/>
        </w:rPr>
        <w:t> use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exemption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second</w:t>
      </w:r>
      <w:r>
        <w:rPr>
          <w:color w:val="231F20"/>
          <w:w w:val="110"/>
        </w:rPr>
        <w:t> time</w:t>
      </w:r>
      <w:r>
        <w:rPr>
          <w:color w:val="231F20"/>
          <w:w w:val="110"/>
        </w:rPr>
        <w:t> under</w:t>
      </w:r>
      <w:r>
        <w:rPr>
          <w:color w:val="231F20"/>
          <w:w w:val="110"/>
        </w:rPr>
        <w:t> a separate claim due to the disability.</w:t>
      </w:r>
    </w:p>
    <w:p>
      <w:pPr>
        <w:spacing w:after="0" w:line="249" w:lineRule="auto"/>
        <w:jc w:val="both"/>
        <w:sectPr>
          <w:type w:val="continuous"/>
          <w:pgSz w:w="12240" w:h="15840"/>
          <w:pgMar w:header="0" w:footer="1429" w:top="0" w:bottom="1620" w:left="0" w:right="0"/>
          <w:cols w:num="2" w:equalWidth="0">
            <w:col w:w="5941" w:space="40"/>
            <w:col w:w="6259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0129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772400" cy="201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01295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lnTo>
                                <a:pt x="7772400" y="201168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9F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15.84pt;mso-position-horizontal-relative:page;mso-position-vertical-relative:page;z-index:15729152" id="docshape7" filled="true" fillcolor="#779fce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spacing w:line="249" w:lineRule="auto" w:before="0"/>
        <w:ind w:left="1396" w:right="89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sectPr>
      <w:type w:val="continuous"/>
      <w:pgSz w:w="12240" w:h="15840"/>
      <w:pgMar w:header="0" w:footer="1429" w:top="0" w:bottom="16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3568">
          <wp:simplePos x="0" y="0"/>
          <wp:positionH relativeFrom="page">
            <wp:posOffset>5689014</wp:posOffset>
          </wp:positionH>
          <wp:positionV relativeFrom="page">
            <wp:posOffset>9039985</wp:posOffset>
          </wp:positionV>
          <wp:extent cx="600807" cy="69290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807" cy="692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875423</wp:posOffset>
              </wp:positionH>
              <wp:positionV relativeFrom="page">
                <wp:posOffset>9011225</wp:posOffset>
              </wp:positionV>
              <wp:extent cx="1671955" cy="6248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1955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DRE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LIC#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01474985</w:t>
                          </w:r>
                        </w:p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925-395-</w:t>
                          </w:r>
                          <w:r>
                            <w:rPr>
                              <w:spacing w:val="-4"/>
                            </w:rPr>
                            <w:t>0175</w:t>
                          </w:r>
                        </w:p>
                        <w:p>
                          <w:pPr>
                            <w:pStyle w:val="BodyText"/>
                            <w:spacing w:line="249" w:lineRule="auto" w:before="10"/>
                            <w:ind w:left="20"/>
                          </w:pPr>
                          <w:hyperlink r:id="rId2">
                            <w:r>
                              <w:rPr>
                                <w:spacing w:val="-2"/>
                              </w:rPr>
                              <w:t>christy@christyscarealty.com</w:t>
                            </w:r>
                          </w:hyperlink>
                          <w:r>
                            <w:rPr>
                              <w:spacing w:val="-2"/>
                            </w:rPr>
                            <w:t> christyscaliforniarealty.com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931pt;margin-top:709.545288pt;width:131.65pt;height:49.2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DRE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LIC#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01474985</w:t>
                    </w:r>
                  </w:p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925-395-</w:t>
                    </w:r>
                    <w:r>
                      <w:rPr>
                        <w:spacing w:val="-4"/>
                      </w:rPr>
                      <w:t>0175</w:t>
                    </w:r>
                  </w:p>
                  <w:p>
                    <w:pPr>
                      <w:pStyle w:val="BodyText"/>
                      <w:spacing w:line="249" w:lineRule="auto" w:before="1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christy@christyscarealty.com</w:t>
                      </w:r>
                    </w:hyperlink>
                    <w:r>
                      <w:rPr>
                        <w:spacing w:val="-2"/>
                      </w:rPr>
                      <w:t> christyscaliforniarealty.com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6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73"/>
        <w:sz w:val="20"/>
        <w:szCs w:val="20"/>
        <w:lang w:val="en-US" w:eastAsia="en-US" w:bidi="ar-SA"/>
      </w:rPr>
    </w:lvl>
    <w:lvl w:ilvl="1">
      <w:start w:val="0"/>
      <w:numFmt w:val="bullet"/>
      <w:lvlText w:val="◦"/>
      <w:lvlJc w:val="left"/>
      <w:pPr>
        <w:ind w:left="143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0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"/>
    </w:pPr>
    <w:rPr>
      <w:rFonts w:ascii="Arial" w:hAnsi="Arial" w:eastAsia="Arial" w:cs="Arial"/>
      <w:b/>
      <w:bCs/>
      <w:sz w:val="53"/>
      <w:szCs w:val="5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0"/>
      <w:ind w:left="1169" w:hanging="2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2024-09-08T23:31:00Z</dcterms:created>
  <dcterms:modified xsi:type="dcterms:W3CDTF">2024-09-08T23:31:00Z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