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49" w:lineRule="auto" w:before="115"/>
        <w:ind w:left="809" w:firstLine="74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-3370765</wp:posOffset>
                </wp:positionV>
                <wp:extent cx="7772400" cy="3221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3221990"/>
                          <a:chExt cx="7772400" cy="32219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3221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157983"/>
                            <a:ext cx="777240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64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2"/>
                                </a:lnTo>
                                <a:lnTo>
                                  <a:pt x="7772400" y="1063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322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177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324" w:right="2837" w:hanging="488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44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4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4"/>
                                </w:rPr>
                                <w:t>special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4"/>
                                </w:rPr>
                                <w:t>assessments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4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Mello-Roos bond payments?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65.414612pt;width:612pt;height:253.7pt;mso-position-horizontal-relative:page;mso-position-vertical-relative:paragraph;z-index:15728640" id="docshapegroup1" coordorigin="0,-5308" coordsize="12240,5074">
                <v:shape style="position:absolute;left:0;top:-5309;width:12240;height:5074" type="#_x0000_t75" id="docshape2" stroked="false">
                  <v:imagedata r:id="rId5" o:title=""/>
                </v:shape>
                <v:rect style="position:absolute;left:0;top:-1910;width:12240;height:1676" id="docshape3" filled="true" fillcolor="#0067ac" stroked="false">
                  <v:fill opacity="32768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5309;width:12240;height:5074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177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324" w:right="2837" w:hanging="488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44"/>
                          </w:rPr>
                          <w:t>What</w:t>
                        </w:r>
                        <w:r>
                          <w:rPr>
                            <w:color w:val="FFFFFF"/>
                            <w:spacing w:val="-25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44"/>
                          </w:rPr>
                          <w:t>are</w:t>
                        </w:r>
                        <w:r>
                          <w:rPr>
                            <w:color w:val="FFFFFF"/>
                            <w:spacing w:val="-25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44"/>
                          </w:rPr>
                          <w:t>special</w:t>
                        </w:r>
                        <w:r>
                          <w:rPr>
                            <w:color w:val="FFFFFF"/>
                            <w:spacing w:val="-24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44"/>
                          </w:rPr>
                          <w:t>assessments</w:t>
                        </w:r>
                        <w:r>
                          <w:rPr>
                            <w:color w:val="FFFFFF"/>
                            <w:spacing w:val="-25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44"/>
                          </w:rPr>
                          <w:t>and </w:t>
                        </w:r>
                        <w:r>
                          <w:rPr>
                            <w:color w:val="FFFFFF"/>
                            <w:sz w:val="44"/>
                          </w:rPr>
                          <w:t>Mello-Roos bond payments?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505331</wp:posOffset>
                </wp:positionH>
                <wp:positionV relativeFrom="paragraph">
                  <wp:posOffset>-3485</wp:posOffset>
                </wp:positionV>
                <wp:extent cx="381000" cy="4578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100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7"/>
                              <w:ind w:left="0" w:right="0" w:firstLine="0"/>
                              <w:jc w:val="left"/>
                              <w:rPr>
                                <w:b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0067AC"/>
                                <w:spacing w:val="-13"/>
                                <w:sz w:val="58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789902pt;margin-top:-.274445pt;width:30pt;height:36.050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47"/>
                        <w:ind w:left="0" w:right="0" w:firstLine="0"/>
                        <w:jc w:val="left"/>
                        <w:rPr>
                          <w:b/>
                          <w:sz w:val="58"/>
                        </w:rPr>
                      </w:pPr>
                      <w:r>
                        <w:rPr>
                          <w:b/>
                          <w:color w:val="0067AC"/>
                          <w:spacing w:val="-13"/>
                          <w:sz w:val="58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 </w:t>
      </w:r>
      <w:r>
        <w:rPr>
          <w:b/>
          <w:color w:val="231F20"/>
        </w:rPr>
        <w:t>special assessment </w:t>
      </w:r>
      <w:r>
        <w:rPr>
          <w:color w:val="231F20"/>
        </w:rPr>
        <w:t>lien is placed on real </w:t>
      </w:r>
      <w:r>
        <w:rPr>
          <w:color w:val="231F20"/>
          <w:w w:val="110"/>
        </w:rPr>
        <w:t>estate to repay bonds that financed the construction of public improvements benefitting property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within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improvement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district.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These public</w:t>
      </w:r>
      <w:r>
        <w:rPr>
          <w:color w:val="231F20"/>
          <w:spacing w:val="60"/>
          <w:w w:val="150"/>
        </w:rPr>
        <w:t> </w:t>
      </w:r>
      <w:r>
        <w:rPr>
          <w:color w:val="231F20"/>
          <w:w w:val="110"/>
        </w:rPr>
        <w:t>improvements</w:t>
      </w:r>
      <w:r>
        <w:rPr>
          <w:color w:val="231F20"/>
          <w:spacing w:val="61"/>
          <w:w w:val="150"/>
        </w:rPr>
        <w:t> </w:t>
      </w:r>
      <w:r>
        <w:rPr>
          <w:color w:val="231F20"/>
          <w:w w:val="110"/>
        </w:rPr>
        <w:t>include</w:t>
      </w:r>
      <w:r>
        <w:rPr>
          <w:color w:val="231F20"/>
          <w:spacing w:val="60"/>
          <w:w w:val="150"/>
        </w:rPr>
        <w:t> </w:t>
      </w:r>
      <w:r>
        <w:rPr>
          <w:color w:val="231F20"/>
          <w:w w:val="110"/>
        </w:rPr>
        <w:t>sewers,</w:t>
      </w:r>
      <w:r>
        <w:rPr>
          <w:color w:val="231F20"/>
          <w:spacing w:val="61"/>
          <w:w w:val="150"/>
        </w:rPr>
        <w:t> </w:t>
      </w:r>
      <w:r>
        <w:rPr>
          <w:color w:val="231F20"/>
          <w:spacing w:val="-2"/>
          <w:w w:val="105"/>
        </w:rPr>
        <w:t>streets,</w:t>
      </w:r>
    </w:p>
    <w:p>
      <w:pPr>
        <w:pStyle w:val="BodyText"/>
        <w:spacing w:before="4"/>
        <w:ind w:left="809"/>
        <w:jc w:val="both"/>
      </w:pPr>
      <w:r>
        <w:rPr>
          <w:color w:val="231F20"/>
          <w:w w:val="105"/>
        </w:rPr>
        <w:t>sidewalks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streetlights.</w:t>
      </w:r>
    </w:p>
    <w:p>
      <w:pPr>
        <w:pStyle w:val="BodyText"/>
        <w:spacing w:line="249" w:lineRule="auto" w:before="131"/>
        <w:ind w:left="809"/>
        <w:jc w:val="both"/>
      </w:pPr>
      <w:r>
        <w:rPr>
          <w:color w:val="231F20"/>
          <w:w w:val="105"/>
        </w:rPr>
        <w:t>The special assessment charge shows up on the annual</w:t>
      </w:r>
      <w:r>
        <w:rPr>
          <w:color w:val="231F20"/>
          <w:w w:val="105"/>
        </w:rPr>
        <w:t> tax</w:t>
      </w:r>
      <w:r>
        <w:rPr>
          <w:color w:val="231F20"/>
          <w:w w:val="105"/>
        </w:rPr>
        <w:t> bill</w:t>
      </w:r>
      <w:r>
        <w:rPr>
          <w:color w:val="231F20"/>
          <w:w w:val="105"/>
        </w:rPr>
        <w:t> and</w:t>
      </w:r>
      <w:r>
        <w:rPr>
          <w:color w:val="231F20"/>
          <w:w w:val="105"/>
        </w:rPr>
        <w:t> is</w:t>
      </w:r>
      <w:r>
        <w:rPr>
          <w:color w:val="231F20"/>
          <w:w w:val="105"/>
        </w:rPr>
        <w:t> collected</w:t>
      </w:r>
      <w:r>
        <w:rPr>
          <w:color w:val="231F20"/>
          <w:w w:val="105"/>
        </w:rPr>
        <w:t> at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time</w:t>
      </w:r>
      <w:r>
        <w:rPr>
          <w:color w:val="231F20"/>
          <w:w w:val="105"/>
        </w:rPr>
        <w:t> for payment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> </w:t>
      </w:r>
      <w:r>
        <w:rPr>
          <w:b/>
          <w:color w:val="231F20"/>
          <w:w w:val="105"/>
        </w:rPr>
        <w:t>property</w:t>
      </w:r>
      <w:r>
        <w:rPr>
          <w:b/>
          <w:color w:val="231F20"/>
          <w:spacing w:val="40"/>
          <w:w w:val="105"/>
        </w:rPr>
        <w:t> </w:t>
      </w:r>
      <w:r>
        <w:rPr>
          <w:b/>
          <w:color w:val="231F20"/>
          <w:w w:val="105"/>
        </w:rPr>
        <w:t>taxes</w:t>
      </w:r>
      <w:r>
        <w:rPr>
          <w:color w:val="231F20"/>
          <w:w w:val="105"/>
        </w:rPr>
        <w:t>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coupling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of unrelated taxes and assessment charges is a constant source of confusion.</w:t>
      </w:r>
    </w:p>
    <w:p>
      <w:pPr>
        <w:pStyle w:val="BodyText"/>
        <w:spacing w:line="249" w:lineRule="auto" w:before="125"/>
        <w:ind w:left="809"/>
        <w:jc w:val="both"/>
      </w:pPr>
      <w:r>
        <w:rPr>
          <w:color w:val="231F20"/>
          <w:w w:val="105"/>
        </w:rPr>
        <w:t>A</w:t>
      </w:r>
      <w:r>
        <w:rPr>
          <w:color w:val="231F20"/>
          <w:w w:val="105"/>
        </w:rPr>
        <w:t> special</w:t>
      </w:r>
      <w:r>
        <w:rPr>
          <w:color w:val="231F20"/>
          <w:w w:val="105"/>
        </w:rPr>
        <w:t> assessment</w:t>
      </w:r>
      <w:r>
        <w:rPr>
          <w:color w:val="231F20"/>
          <w:w w:val="105"/>
        </w:rPr>
        <w:t> lien</w:t>
      </w:r>
      <w:r>
        <w:rPr>
          <w:color w:val="231F20"/>
          <w:w w:val="105"/>
        </w:rPr>
        <w:t> is</w:t>
      </w:r>
      <w:r>
        <w:rPr>
          <w:color w:val="231F20"/>
          <w:w w:val="105"/>
        </w:rPr>
        <w:t> based</w:t>
      </w:r>
      <w:r>
        <w:rPr>
          <w:color w:val="231F20"/>
          <w:w w:val="105"/>
        </w:rPr>
        <w:t> on</w:t>
      </w:r>
      <w:r>
        <w:rPr>
          <w:color w:val="231F20"/>
          <w:w w:val="105"/>
        </w:rPr>
        <w:t> the proportional benefit each property in the district receives</w:t>
      </w:r>
      <w:r>
        <w:rPr>
          <w:color w:val="231F20"/>
          <w:w w:val="105"/>
        </w:rPr>
        <w:t> from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improvements.</w:t>
      </w:r>
      <w:r>
        <w:rPr>
          <w:color w:val="231F20"/>
          <w:w w:val="105"/>
        </w:rPr>
        <w:t> Thus,</w:t>
      </w:r>
      <w:r>
        <w:rPr>
          <w:color w:val="231F20"/>
          <w:w w:val="105"/>
        </w:rPr>
        <w:t> the amount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special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assessment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payment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is not uniform for each property owner. In contrast,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a property tax is determined annually based on the property’s value.</w:t>
      </w:r>
    </w:p>
    <w:p>
      <w:pPr>
        <w:pStyle w:val="BodyText"/>
        <w:spacing w:line="249" w:lineRule="auto" w:before="126"/>
        <w:ind w:left="809"/>
        <w:jc w:val="both"/>
      </w:pPr>
      <w:r>
        <w:rPr>
          <w:color w:val="231F20"/>
          <w:w w:val="110"/>
        </w:rPr>
        <w:t>Since</w:t>
      </w:r>
      <w:r>
        <w:rPr>
          <w:color w:val="231F20"/>
          <w:w w:val="110"/>
        </w:rPr>
        <w:t> special</w:t>
      </w:r>
      <w:r>
        <w:rPr>
          <w:color w:val="231F20"/>
          <w:w w:val="110"/>
        </w:rPr>
        <w:t> assessments</w:t>
      </w:r>
      <w:r>
        <w:rPr>
          <w:color w:val="231F20"/>
          <w:w w:val="110"/>
        </w:rPr>
        <w:t> are unrelated to the assessed</w:t>
      </w:r>
      <w:r>
        <w:rPr>
          <w:color w:val="231F20"/>
          <w:w w:val="110"/>
        </w:rPr>
        <w:t> value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property</w:t>
      </w:r>
      <w:r>
        <w:rPr>
          <w:color w:val="231F20"/>
          <w:w w:val="110"/>
        </w:rPr>
        <w:t> (or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property taxes), they have nothing to do with the county assessor,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whose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job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“reassess”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value</w:t>
      </w:r>
    </w:p>
    <w:p>
      <w:pPr>
        <w:pStyle w:val="BodyText"/>
        <w:spacing w:line="249" w:lineRule="auto" w:before="115"/>
        <w:ind w:left="409" w:right="717"/>
        <w:jc w:val="both"/>
      </w:pPr>
      <w:r>
        <w:rPr/>
        <w:br w:type="column"/>
      </w:r>
      <w:r>
        <w:rPr>
          <w:color w:val="231F20"/>
          <w:w w:val="115"/>
        </w:rPr>
        <w:t>of</w:t>
      </w:r>
      <w:r>
        <w:rPr>
          <w:color w:val="231F20"/>
          <w:w w:val="115"/>
        </w:rPr>
        <w:t> property</w:t>
      </w:r>
      <w:r>
        <w:rPr>
          <w:color w:val="231F20"/>
          <w:w w:val="115"/>
        </w:rPr>
        <w:t> on</w:t>
      </w:r>
      <w:r>
        <w:rPr>
          <w:color w:val="231F20"/>
          <w:w w:val="115"/>
        </w:rPr>
        <w:t> a</w:t>
      </w:r>
      <w:r>
        <w:rPr>
          <w:color w:val="231F20"/>
          <w:w w:val="115"/>
        </w:rPr>
        <w:t> change</w:t>
      </w:r>
      <w:r>
        <w:rPr>
          <w:color w:val="231F20"/>
          <w:w w:val="115"/>
        </w:rPr>
        <w:t> of</w:t>
      </w:r>
      <w:r>
        <w:rPr>
          <w:color w:val="231F20"/>
          <w:w w:val="115"/>
        </w:rPr>
        <w:t> ownership</w:t>
      </w:r>
      <w:r>
        <w:rPr>
          <w:color w:val="231F20"/>
          <w:w w:val="115"/>
        </w:rPr>
        <w:t> for</w:t>
      </w:r>
      <w:r>
        <w:rPr>
          <w:color w:val="231F20"/>
          <w:w w:val="115"/>
        </w:rPr>
        <w:t> the purpose</w:t>
      </w:r>
      <w:r>
        <w:rPr>
          <w:color w:val="231F20"/>
          <w:w w:val="115"/>
        </w:rPr>
        <w:t> of</w:t>
      </w:r>
      <w:r>
        <w:rPr>
          <w:color w:val="231F20"/>
          <w:w w:val="115"/>
        </w:rPr>
        <w:t> the</w:t>
      </w:r>
      <w:r>
        <w:rPr>
          <w:color w:val="231F20"/>
          <w:w w:val="115"/>
        </w:rPr>
        <w:t> county</w:t>
      </w:r>
      <w:r>
        <w:rPr>
          <w:color w:val="231F20"/>
          <w:w w:val="115"/>
        </w:rPr>
        <w:t> tax</w:t>
      </w:r>
      <w:r>
        <w:rPr>
          <w:color w:val="231F20"/>
          <w:w w:val="115"/>
        </w:rPr>
        <w:t> collector</w:t>
      </w:r>
      <w:r>
        <w:rPr>
          <w:color w:val="231F20"/>
          <w:w w:val="115"/>
        </w:rPr>
        <w:t> imposing and collecting property taxes.</w:t>
      </w:r>
    </w:p>
    <w:p>
      <w:pPr>
        <w:pStyle w:val="BodyText"/>
        <w:spacing w:line="249" w:lineRule="auto" w:before="122"/>
        <w:ind w:left="409" w:right="717"/>
        <w:jc w:val="both"/>
      </w:pPr>
      <w:r>
        <w:rPr>
          <w:color w:val="231F20"/>
          <w:w w:val="110"/>
        </w:rPr>
        <w:t>Unlike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property’s</w:t>
      </w:r>
      <w:r>
        <w:rPr>
          <w:color w:val="231F20"/>
          <w:w w:val="110"/>
        </w:rPr>
        <w:t> assessed</w:t>
      </w:r>
      <w:r>
        <w:rPr>
          <w:color w:val="231F20"/>
          <w:w w:val="110"/>
        </w:rPr>
        <w:t> value,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buyer</w:t>
      </w:r>
      <w:r>
        <w:rPr>
          <w:color w:val="231F20"/>
          <w:w w:val="110"/>
        </w:rPr>
        <w:t> of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property subject to a special assessment lien for</w:t>
      </w:r>
      <w:r>
        <w:rPr>
          <w:color w:val="231F20"/>
          <w:w w:val="110"/>
        </w:rPr>
        <w:t> bonded</w:t>
      </w:r>
      <w:r>
        <w:rPr>
          <w:color w:val="231F20"/>
          <w:w w:val="110"/>
        </w:rPr>
        <w:t> indebtedness</w:t>
      </w:r>
      <w:r>
        <w:rPr>
          <w:color w:val="231F20"/>
          <w:w w:val="110"/>
        </w:rPr>
        <w:t> may</w:t>
      </w:r>
      <w:r>
        <w:rPr>
          <w:color w:val="231F20"/>
          <w:w w:val="110"/>
        </w:rPr>
        <w:t> assumed</w:t>
      </w:r>
      <w:r>
        <w:rPr>
          <w:color w:val="231F20"/>
          <w:w w:val="110"/>
        </w:rPr>
        <w:t> the principal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debt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payments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assessment, but</w:t>
      </w:r>
      <w:r>
        <w:rPr>
          <w:color w:val="231F20"/>
          <w:w w:val="110"/>
        </w:rPr>
        <w:t> cannot</w:t>
      </w:r>
      <w:r>
        <w:rPr>
          <w:color w:val="231F20"/>
          <w:w w:val="110"/>
        </w:rPr>
        <w:t> assume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seller’s</w:t>
      </w:r>
      <w:r>
        <w:rPr>
          <w:color w:val="231F20"/>
          <w:w w:val="110"/>
        </w:rPr>
        <w:t> assessed</w:t>
      </w:r>
      <w:r>
        <w:rPr>
          <w:color w:val="231F20"/>
          <w:w w:val="110"/>
        </w:rPr>
        <w:t> value for the property, the property assessment being reset at the price the buyer paid.</w:t>
      </w:r>
    </w:p>
    <w:p>
      <w:pPr>
        <w:pStyle w:val="BodyText"/>
        <w:spacing w:line="249" w:lineRule="auto" w:before="126"/>
        <w:ind w:left="409" w:right="717"/>
        <w:jc w:val="both"/>
      </w:pPr>
      <w:r>
        <w:rPr>
          <w:color w:val="231F20"/>
          <w:w w:val="105"/>
        </w:rPr>
        <w:t>One type of special assessment is a Mello-Roos lien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shows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tax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bill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> </w:t>
      </w:r>
      <w:r>
        <w:rPr>
          <w:b/>
          <w:color w:val="231F20"/>
          <w:w w:val="105"/>
        </w:rPr>
        <w:t>Community Facilities</w:t>
      </w:r>
      <w:r>
        <w:rPr>
          <w:b/>
          <w:color w:val="231F20"/>
          <w:spacing w:val="-1"/>
          <w:w w:val="105"/>
        </w:rPr>
        <w:t> </w:t>
      </w:r>
      <w:r>
        <w:rPr>
          <w:b/>
          <w:color w:val="231F20"/>
          <w:w w:val="105"/>
        </w:rPr>
        <w:t>District</w:t>
      </w:r>
      <w:r>
        <w:rPr>
          <w:b/>
          <w:color w:val="231F20"/>
          <w:spacing w:val="-2"/>
          <w:w w:val="105"/>
        </w:rPr>
        <w:t> </w:t>
      </w:r>
      <w:r>
        <w:rPr>
          <w:color w:val="231F20"/>
          <w:w w:val="105"/>
        </w:rPr>
        <w:t>charges.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Mello-Roos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payments are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used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pay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off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bonds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issued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finance public</w:t>
      </w:r>
      <w:r>
        <w:rPr>
          <w:color w:val="231F20"/>
          <w:w w:val="105"/>
        </w:rPr>
        <w:t> facilities</w:t>
      </w:r>
      <w:r>
        <w:rPr>
          <w:color w:val="231F20"/>
          <w:w w:val="105"/>
        </w:rPr>
        <w:t> and</w:t>
      </w:r>
      <w:r>
        <w:rPr>
          <w:color w:val="231F20"/>
          <w:w w:val="105"/>
        </w:rPr>
        <w:t> services</w:t>
      </w:r>
      <w:r>
        <w:rPr>
          <w:color w:val="231F20"/>
          <w:w w:val="105"/>
        </w:rPr>
        <w:t> like</w:t>
      </w:r>
      <w:r>
        <w:rPr>
          <w:color w:val="231F20"/>
          <w:w w:val="105"/>
        </w:rPr>
        <w:t> schools,</w:t>
      </w:r>
      <w:r>
        <w:rPr>
          <w:color w:val="231F20"/>
          <w:w w:val="105"/>
        </w:rPr>
        <w:t> parks and libraries.</w:t>
      </w:r>
    </w:p>
    <w:p>
      <w:pPr>
        <w:pStyle w:val="BodyText"/>
        <w:spacing w:line="249" w:lineRule="auto" w:before="126"/>
        <w:ind w:left="409" w:right="717"/>
        <w:jc w:val="both"/>
      </w:pPr>
      <w:r>
        <w:rPr>
          <w:color w:val="231F20"/>
        </w:rPr>
        <w:t>This type of special assessment lien is often found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w w:val="110"/>
        </w:rPr>
        <w:t> large,</w:t>
      </w:r>
      <w:r>
        <w:rPr>
          <w:color w:val="231F20"/>
          <w:w w:val="110"/>
        </w:rPr>
        <w:t> new</w:t>
      </w:r>
      <w:r>
        <w:rPr>
          <w:color w:val="231F20"/>
          <w:w w:val="110"/>
        </w:rPr>
        <w:t> subdivisions,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the</w:t>
      </w:r>
      <w:r>
        <w:rPr>
          <w:color w:val="231F20"/>
          <w:w w:val="110"/>
        </w:rPr>
        <w:t> principal debt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typically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amortized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over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20-25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years.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The financing funds the subdivider’s construction of required</w:t>
      </w:r>
      <w:r>
        <w:rPr>
          <w:color w:val="231F20"/>
          <w:w w:val="110"/>
        </w:rPr>
        <w:t> improvements</w:t>
      </w:r>
      <w:r>
        <w:rPr>
          <w:color w:val="231F20"/>
          <w:w w:val="110"/>
        </w:rPr>
        <w:t> located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publically dedicated parts of the subdivision.</w:t>
      </w:r>
    </w:p>
    <w:p>
      <w:pPr>
        <w:spacing w:after="0" w:line="249" w:lineRule="auto"/>
        <w:jc w:val="both"/>
        <w:sectPr>
          <w:type w:val="continuous"/>
          <w:pgSz w:w="12240" w:h="15840"/>
          <w:pgMar w:top="0" w:bottom="280" w:left="0" w:right="0"/>
          <w:cols w:num="2" w:equalWidth="0">
            <w:col w:w="5941" w:space="40"/>
            <w:col w:w="6259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841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384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8417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384048"/>
                              </a:lnTo>
                              <a:lnTo>
                                <a:pt x="7772400" y="38404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9F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30.24pt;mso-position-horizontal-relative:page;mso-position-vertical-relative:page;z-index:15729152" id="docshape6" filled="true" fillcolor="#779fc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line="249" w:lineRule="auto" w:before="0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39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98053</wp:posOffset>
            </wp:positionV>
            <wp:extent cx="600807" cy="69290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39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398" w:right="59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/>
    </w:pPr>
    <w:rPr>
      <w:rFonts w:ascii="Arial" w:hAnsi="Arial" w:eastAsia="Arial" w:cs="Arial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2024-09-08T23:31:53Z</dcterms:created>
  <dcterms:modified xsi:type="dcterms:W3CDTF">2024-09-08T23:31:53Z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