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1965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02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6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6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title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6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insurance?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865;width:11520;height:1316" type="#_x0000_t202" id="docshape3" filled="true" fillcolor="#d2232a" stroked="false">
                  <v:textbox inset="0,0,0,0">
                    <w:txbxContent>
                      <w:p>
                        <w:pPr>
                          <w:spacing w:before="402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6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6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title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6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insurance?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3"/>
        <w:ind w:left="0" w:firstLin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before="94"/>
        <w:ind w:left="1120" w:firstLin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457200</wp:posOffset>
                </wp:positionH>
                <wp:positionV relativeFrom="paragraph">
                  <wp:posOffset>27249</wp:posOffset>
                </wp:positionV>
                <wp:extent cx="332105" cy="35179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32105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4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.145615pt;width:26.15pt;height:27.7pt;mso-position-horizontal-relative:page;mso-position-vertical-relative:paragraph;z-index:-15772160" type="#_x0000_t202" id="docshape4" filled="false" stroked="false">
                <v:textbox inset="0,0,0,0">
                  <w:txbxContent>
                    <w:p>
                      <w:pPr>
                        <w:spacing w:line="552" w:lineRule="exact" w:before="0"/>
                        <w:ind w:left="0" w:right="0" w:firstLine="0"/>
                        <w:jc w:val="left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4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policy of </w:t>
      </w:r>
      <w:r>
        <w:rPr>
          <w:b/>
          <w:color w:val="231F20"/>
        </w:rPr>
        <w:t>title insurance </w:t>
      </w:r>
      <w:r>
        <w:rPr>
          <w:color w:val="231F20"/>
        </w:rPr>
        <w:t>is the contract issued by a title</w:t>
      </w:r>
      <w:r>
        <w:rPr>
          <w:color w:val="231F20"/>
          <w:spacing w:val="12"/>
        </w:rPr>
        <w:t> </w:t>
      </w:r>
      <w:r>
        <w:rPr>
          <w:color w:val="231F20"/>
        </w:rPr>
        <w:t>insurance</w:t>
      </w:r>
      <w:r>
        <w:rPr>
          <w:color w:val="231F20"/>
          <w:spacing w:val="15"/>
        </w:rPr>
        <w:t> </w:t>
      </w:r>
      <w:r>
        <w:rPr>
          <w:color w:val="231F20"/>
        </w:rPr>
        <w:t>company</w:t>
      </w:r>
      <w:r>
        <w:rPr>
          <w:color w:val="231F20"/>
          <w:spacing w:val="15"/>
        </w:rPr>
        <w:t> </w:t>
      </w:r>
      <w:r>
        <w:rPr>
          <w:color w:val="231F20"/>
        </w:rPr>
        <w:t>that</w:t>
      </w:r>
      <w:r>
        <w:rPr>
          <w:color w:val="231F20"/>
          <w:spacing w:val="14"/>
        </w:rPr>
        <w:t> </w:t>
      </w:r>
      <w:r>
        <w:rPr>
          <w:color w:val="231F20"/>
        </w:rPr>
        <w:t>assures</w:t>
      </w:r>
      <w:r>
        <w:rPr>
          <w:color w:val="231F20"/>
          <w:spacing w:val="15"/>
        </w:rPr>
        <w:t> </w:t>
      </w:r>
      <w:r>
        <w:rPr>
          <w:color w:val="231F20"/>
        </w:rPr>
        <w:t>you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interest</w:t>
      </w:r>
    </w:p>
    <w:p>
      <w:pPr>
        <w:pStyle w:val="BodyText"/>
        <w:spacing w:before="0"/>
        <w:ind w:left="459" w:right="1" w:firstLine="0"/>
        <w:jc w:val="both"/>
      </w:pP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title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real</w:t>
      </w:r>
      <w:r>
        <w:rPr>
          <w:color w:val="231F20"/>
          <w:spacing w:val="-9"/>
        </w:rPr>
        <w:t> </w:t>
      </w:r>
      <w:r>
        <w:rPr>
          <w:color w:val="231F20"/>
        </w:rPr>
        <w:t>estate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acquire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what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bargained</w:t>
      </w:r>
      <w:r>
        <w:rPr>
          <w:color w:val="231F20"/>
          <w:spacing w:val="-9"/>
        </w:rPr>
        <w:t> </w:t>
      </w:r>
      <w:r>
        <w:rPr>
          <w:color w:val="231F20"/>
        </w:rPr>
        <w:t>for.</w:t>
      </w:r>
      <w:r>
        <w:rPr>
          <w:color w:val="231F20"/>
          <w:spacing w:val="-13"/>
        </w:rPr>
        <w:t> </w:t>
      </w:r>
      <w:r>
        <w:rPr>
          <w:color w:val="231F20"/>
        </w:rPr>
        <w:t>The policy agrees to reimburse you or hold you harmless when a monetary loss is caused by an </w:t>
      </w:r>
      <w:r>
        <w:rPr>
          <w:b/>
          <w:color w:val="231F20"/>
        </w:rPr>
        <w:t>encumbrance on title </w:t>
      </w:r>
      <w:r>
        <w:rPr>
          <w:color w:val="231F20"/>
        </w:rPr>
        <w:t>which: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0" w:after="0"/>
        <w:ind w:left="999" w:right="1" w:hanging="270"/>
        <w:jc w:val="both"/>
        <w:rPr>
          <w:sz w:val="19"/>
        </w:rPr>
      </w:pPr>
      <w:r>
        <w:rPr>
          <w:color w:val="231F20"/>
          <w:sz w:val="19"/>
        </w:rPr>
        <w:t>is not listed in the title insurance policy as an exception to coverage; 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338" w:lineRule="auto" w:before="62" w:after="0"/>
        <w:ind w:left="459" w:right="507" w:firstLine="269"/>
        <w:jc w:val="left"/>
        <w:rPr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were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unaware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when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policy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was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issued. Encumbrances on title include: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191" w:lineRule="exact" w:before="0" w:after="0"/>
        <w:ind w:left="999" w:right="0" w:hanging="270"/>
        <w:jc w:val="left"/>
        <w:rPr>
          <w:sz w:val="19"/>
        </w:rPr>
      </w:pPr>
      <w:r>
        <w:rPr>
          <w:color w:val="231F20"/>
          <w:sz w:val="19"/>
        </w:rPr>
        <w:t>covenants,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conditions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restrictions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(CC&amp;Rs)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limiting</w:t>
      </w:r>
    </w:p>
    <w:p>
      <w:pPr>
        <w:pStyle w:val="BodyText"/>
        <w:spacing w:before="0"/>
        <w:ind w:firstLine="0"/>
      </w:pPr>
      <w:r>
        <w:rPr>
          <w:color w:val="231F20"/>
          <w:spacing w:val="-4"/>
        </w:rPr>
        <w:t>use;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61" w:after="0"/>
        <w:ind w:left="999" w:right="0" w:hanging="270"/>
        <w:jc w:val="left"/>
        <w:rPr>
          <w:sz w:val="19"/>
        </w:rPr>
      </w:pPr>
      <w:r>
        <w:rPr>
          <w:color w:val="231F20"/>
          <w:sz w:val="19"/>
        </w:rPr>
        <w:t>reservations of a right of </w:t>
      </w:r>
      <w:r>
        <w:rPr>
          <w:color w:val="231F20"/>
          <w:spacing w:val="-4"/>
          <w:sz w:val="19"/>
        </w:rPr>
        <w:t>way;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61" w:after="0"/>
        <w:ind w:left="999" w:right="0" w:hanging="270"/>
        <w:jc w:val="left"/>
        <w:rPr>
          <w:sz w:val="19"/>
        </w:rPr>
      </w:pPr>
      <w:r>
        <w:rPr>
          <w:color w:val="231F20"/>
          <w:spacing w:val="-2"/>
          <w:sz w:val="19"/>
        </w:rPr>
        <w:t>easements;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61" w:after="0"/>
        <w:ind w:left="999" w:right="0" w:hanging="270"/>
        <w:jc w:val="left"/>
        <w:rPr>
          <w:sz w:val="19"/>
        </w:rPr>
      </w:pPr>
      <w:r>
        <w:rPr>
          <w:color w:val="231F20"/>
          <w:spacing w:val="-2"/>
          <w:sz w:val="19"/>
        </w:rPr>
        <w:t>encroachments;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61" w:after="0"/>
        <w:ind w:left="999" w:right="0" w:hanging="270"/>
        <w:jc w:val="left"/>
        <w:rPr>
          <w:sz w:val="19"/>
        </w:rPr>
      </w:pPr>
      <w:r>
        <w:rPr>
          <w:color w:val="231F20"/>
          <w:sz w:val="19"/>
        </w:rPr>
        <w:t>trust deeds or other security </w:t>
      </w:r>
      <w:r>
        <w:rPr>
          <w:color w:val="231F20"/>
          <w:spacing w:val="-2"/>
          <w:sz w:val="19"/>
        </w:rPr>
        <w:t>devices;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62" w:after="0"/>
        <w:ind w:left="999" w:right="0" w:hanging="270"/>
        <w:jc w:val="left"/>
        <w:rPr>
          <w:sz w:val="19"/>
        </w:rPr>
      </w:pPr>
      <w:r>
        <w:rPr>
          <w:color w:val="231F20"/>
          <w:sz w:val="19"/>
        </w:rPr>
        <w:t>pendency of condemnation; </w:t>
      </w:r>
      <w:r>
        <w:rPr>
          <w:color w:val="231F20"/>
          <w:spacing w:val="-5"/>
          <w:sz w:val="19"/>
        </w:rPr>
        <w:t>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61" w:after="0"/>
        <w:ind w:left="999" w:right="0" w:hanging="270"/>
        <w:jc w:val="left"/>
        <w:rPr>
          <w:sz w:val="19"/>
        </w:rPr>
      </w:pPr>
      <w:r>
        <w:rPr>
          <w:color w:val="231F20"/>
          <w:spacing w:val="-2"/>
          <w:sz w:val="19"/>
        </w:rPr>
        <w:t>leases.</w:t>
      </w:r>
    </w:p>
    <w:p>
      <w:pPr>
        <w:pStyle w:val="BodyText"/>
        <w:spacing w:before="90"/>
        <w:ind w:left="459" w:firstLine="0"/>
      </w:pPr>
      <w:r>
        <w:rPr>
          <w:color w:val="231F20"/>
        </w:rPr>
        <w:t>Physical</w:t>
      </w:r>
      <w:r>
        <w:rPr>
          <w:color w:val="231F20"/>
          <w:spacing w:val="40"/>
        </w:rPr>
        <w:t> </w:t>
      </w:r>
      <w:r>
        <w:rPr>
          <w:color w:val="231F20"/>
        </w:rPr>
        <w:t>conditions</w:t>
      </w:r>
      <w:r>
        <w:rPr>
          <w:color w:val="231F20"/>
          <w:spacing w:val="40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property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40"/>
        </w:rPr>
        <w:t> </w:t>
      </w:r>
      <w:r>
        <w:rPr>
          <w:color w:val="231F20"/>
        </w:rPr>
        <w:t>not</w:t>
      </w:r>
      <w:r>
        <w:rPr>
          <w:color w:val="231F20"/>
          <w:spacing w:val="40"/>
        </w:rPr>
        <w:t> </w:t>
      </w:r>
      <w:r>
        <w:rPr>
          <w:color w:val="231F20"/>
        </w:rPr>
        <w:t>encumbrances affecting title and are not covered by a title insurance policy.</w:t>
      </w:r>
    </w:p>
    <w:p>
      <w:pPr>
        <w:pStyle w:val="BodyText"/>
        <w:spacing w:before="90"/>
        <w:ind w:left="459" w:firstLine="0"/>
      </w:pPr>
      <w:r>
        <w:rPr>
          <w:color w:val="231F20"/>
        </w:rPr>
        <w:t>A policy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title</w:t>
      </w:r>
      <w:r>
        <w:rPr>
          <w:color w:val="231F20"/>
          <w:spacing w:val="27"/>
        </w:rPr>
        <w:t> </w:t>
      </w:r>
      <w:r>
        <w:rPr>
          <w:color w:val="231F20"/>
        </w:rPr>
        <w:t>insurance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broken</w:t>
      </w:r>
      <w:r>
        <w:rPr>
          <w:color w:val="231F20"/>
          <w:spacing w:val="27"/>
        </w:rPr>
        <w:t> </w:t>
      </w:r>
      <w:r>
        <w:rPr>
          <w:color w:val="231F20"/>
        </w:rPr>
        <w:t>down</w:t>
      </w:r>
      <w:r>
        <w:rPr>
          <w:color w:val="231F20"/>
          <w:spacing w:val="27"/>
        </w:rPr>
        <w:t> </w:t>
      </w:r>
      <w:r>
        <w:rPr>
          <w:color w:val="231F20"/>
        </w:rPr>
        <w:t>into</w:t>
      </w:r>
      <w:r>
        <w:rPr>
          <w:color w:val="231F20"/>
          <w:spacing w:val="27"/>
        </w:rPr>
        <w:t> </w:t>
      </w:r>
      <w:r>
        <w:rPr>
          <w:color w:val="231F20"/>
        </w:rPr>
        <w:t>six</w:t>
      </w:r>
      <w:r>
        <w:rPr>
          <w:color w:val="231F20"/>
          <w:spacing w:val="27"/>
        </w:rPr>
        <w:t> </w:t>
      </w:r>
      <w:r>
        <w:rPr>
          <w:color w:val="231F20"/>
        </w:rPr>
        <w:t>operative </w:t>
      </w:r>
      <w:r>
        <w:rPr>
          <w:color w:val="231F20"/>
          <w:spacing w:val="-2"/>
        </w:rPr>
        <w:t>sections: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90" w:after="0"/>
        <w:ind w:left="999" w:right="0" w:hanging="270"/>
        <w:jc w:val="both"/>
        <w:rPr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risks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loss</w:t>
      </w:r>
      <w:r>
        <w:rPr>
          <w:i/>
          <w:color w:val="231F20"/>
          <w:spacing w:val="-5"/>
          <w:sz w:val="19"/>
        </w:rPr>
        <w:t> </w:t>
      </w:r>
      <w:r>
        <w:rPr>
          <w:i/>
          <w:color w:val="231F20"/>
          <w:sz w:val="19"/>
        </w:rPr>
        <w:t>covered</w:t>
      </w:r>
      <w:r>
        <w:rPr>
          <w:color w:val="231F20"/>
          <w:sz w:val="19"/>
        </w:rPr>
        <w:t>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called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insuring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clauses,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based on a completely unencumbered title at the time of </w:t>
      </w:r>
      <w:r>
        <w:rPr>
          <w:color w:val="231F20"/>
          <w:spacing w:val="-2"/>
          <w:sz w:val="19"/>
        </w:rPr>
        <w:t>transfer;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61" w:after="0"/>
        <w:ind w:left="999" w:right="0" w:hanging="270"/>
        <w:jc w:val="both"/>
        <w:rPr>
          <w:sz w:val="19"/>
        </w:rPr>
      </w:pPr>
      <w:r>
        <w:rPr>
          <w:color w:val="231F20"/>
          <w:spacing w:val="-2"/>
          <w:sz w:val="19"/>
        </w:rPr>
        <w:t>the</w:t>
      </w:r>
      <w:r>
        <w:rPr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risks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2"/>
          <w:sz w:val="19"/>
        </w:rPr>
        <w:t>of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2"/>
          <w:sz w:val="19"/>
        </w:rPr>
        <w:t>loss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2"/>
          <w:sz w:val="19"/>
        </w:rPr>
        <w:t>not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2"/>
          <w:sz w:val="19"/>
        </w:rPr>
        <w:t>covered</w:t>
      </w:r>
      <w:r>
        <w:rPr>
          <w:color w:val="231F20"/>
          <w:spacing w:val="-2"/>
          <w:sz w:val="19"/>
        </w:rPr>
        <w:t>,</w:t>
      </w:r>
      <w:r>
        <w:rPr>
          <w:color w:val="231F20"/>
          <w:spacing w:val="-12"/>
          <w:sz w:val="19"/>
        </w:rPr>
        <w:t> </w:t>
      </w:r>
      <w:r>
        <w:rPr>
          <w:color w:val="231F20"/>
          <w:spacing w:val="-2"/>
          <w:sz w:val="19"/>
        </w:rPr>
        <w:t>comprised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encumbrances </w:t>
      </w:r>
      <w:r>
        <w:rPr>
          <w:color w:val="231F20"/>
          <w:sz w:val="19"/>
        </w:rPr>
        <w:t>arising after the transfer or known to you, called </w:t>
      </w:r>
      <w:r>
        <w:rPr>
          <w:color w:val="231F20"/>
          <w:spacing w:val="-2"/>
          <w:sz w:val="19"/>
        </w:rPr>
        <w:t>exclusions;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62" w:after="0"/>
        <w:ind w:left="999" w:right="0" w:hanging="270"/>
        <w:jc w:val="both"/>
        <w:rPr>
          <w:sz w:val="19"/>
        </w:rPr>
      </w:pPr>
      <w:r>
        <w:rPr>
          <w:i/>
          <w:color w:val="231F20"/>
          <w:sz w:val="19"/>
        </w:rPr>
        <w:t>your identification </w:t>
      </w:r>
      <w:r>
        <w:rPr>
          <w:color w:val="231F20"/>
          <w:sz w:val="19"/>
        </w:rPr>
        <w:t>as the insured, the property, the vesting,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dollar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amount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coverage,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premium</w:t>
      </w:r>
    </w:p>
    <w:p>
      <w:pPr>
        <w:pStyle w:val="BodyText"/>
        <w:spacing w:before="94"/>
        <w:ind w:left="858" w:right="430" w:firstLine="0"/>
      </w:pPr>
      <w:r>
        <w:rPr/>
        <w:br w:type="column"/>
      </w:r>
      <w:r>
        <w:rPr>
          <w:color w:val="231F20"/>
        </w:rPr>
        <w:t>paid and the recording of the transfer, called Schedule </w:t>
      </w:r>
      <w:r>
        <w:rPr>
          <w:color w:val="231F20"/>
          <w:spacing w:val="-6"/>
        </w:rPr>
        <w:t>A;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62" w:after="0"/>
        <w:ind w:left="858" w:right="457" w:hanging="270"/>
        <w:jc w:val="both"/>
        <w:rPr>
          <w:sz w:val="19"/>
        </w:rPr>
      </w:pPr>
      <w:r>
        <w:rPr>
          <w:color w:val="231F20"/>
          <w:spacing w:val="-2"/>
          <w:sz w:val="19"/>
        </w:rPr>
        <w:t>the</w:t>
      </w:r>
      <w:r>
        <w:rPr>
          <w:color w:val="231F20"/>
          <w:spacing w:val="-12"/>
          <w:sz w:val="19"/>
        </w:rPr>
        <w:t> </w:t>
      </w:r>
      <w:r>
        <w:rPr>
          <w:i/>
          <w:color w:val="231F20"/>
          <w:spacing w:val="-2"/>
          <w:sz w:val="19"/>
        </w:rPr>
        <w:t>recorded</w:t>
      </w:r>
      <w:r>
        <w:rPr>
          <w:i/>
          <w:color w:val="231F20"/>
          <w:spacing w:val="-11"/>
          <w:sz w:val="19"/>
        </w:rPr>
        <w:t> </w:t>
      </w:r>
      <w:r>
        <w:rPr>
          <w:i/>
          <w:color w:val="231F20"/>
          <w:spacing w:val="-2"/>
          <w:sz w:val="19"/>
        </w:rPr>
        <w:t>interests</w:t>
      </w:r>
      <w:r>
        <w:rPr>
          <w:color w:val="231F20"/>
          <w:spacing w:val="-2"/>
          <w:sz w:val="19"/>
        </w:rPr>
        <w:t>,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including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identified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encumbrances </w:t>
      </w:r>
      <w:r>
        <w:rPr>
          <w:color w:val="231F20"/>
          <w:sz w:val="19"/>
        </w:rPr>
        <w:t>affecting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title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any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observable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on-site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activities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listed as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risks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you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agree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to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assume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which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are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not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covered by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policy,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called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exceptions,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itemized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Schedule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B;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61" w:after="0"/>
        <w:ind w:left="858" w:right="458" w:hanging="270"/>
        <w:jc w:val="both"/>
        <w:rPr>
          <w:sz w:val="19"/>
        </w:rPr>
      </w:pPr>
      <w:r>
        <w:rPr>
          <w:color w:val="231F20"/>
          <w:sz w:val="19"/>
        </w:rPr>
        <w:t>the </w:t>
      </w:r>
      <w:r>
        <w:rPr>
          <w:i/>
          <w:color w:val="231F20"/>
          <w:sz w:val="19"/>
        </w:rPr>
        <w:t>procedures</w:t>
      </w:r>
      <w:r>
        <w:rPr>
          <w:color w:val="231F20"/>
          <w:sz w:val="19"/>
        </w:rPr>
        <w:t>, called conditions, for claims you make and for settlement by the insurance company on the occurrence of a loss due to any encumbrance on title granted by the insuring clauses; and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61" w:after="0"/>
        <w:ind w:left="858" w:right="458" w:hanging="270"/>
        <w:jc w:val="both"/>
        <w:rPr>
          <w:sz w:val="19"/>
        </w:rPr>
      </w:pPr>
      <w:r>
        <w:rPr>
          <w:i/>
          <w:color w:val="231F20"/>
          <w:sz w:val="19"/>
        </w:rPr>
        <w:t>endorsements </w:t>
      </w:r>
      <w:r>
        <w:rPr>
          <w:color w:val="231F20"/>
          <w:sz w:val="19"/>
        </w:rPr>
        <w:t>for additional coverage, or removal of exclusions and pre-printed exceptions from the policy.</w:t>
      </w:r>
    </w:p>
    <w:p>
      <w:pPr>
        <w:pStyle w:val="BodyText"/>
        <w:spacing w:before="90"/>
        <w:ind w:left="319" w:firstLine="0"/>
        <w:jc w:val="both"/>
      </w:pPr>
      <w:r>
        <w:rPr>
          <w:color w:val="231F20"/>
        </w:rPr>
        <w:t>Several</w:t>
      </w:r>
      <w:r>
        <w:rPr>
          <w:color w:val="231F20"/>
          <w:spacing w:val="-3"/>
        </w:rPr>
        <w:t> </w:t>
      </w:r>
      <w:r>
        <w:rPr>
          <w:color w:val="231F20"/>
        </w:rPr>
        <w:t>types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title</w:t>
      </w:r>
      <w:r>
        <w:rPr>
          <w:color w:val="231F20"/>
          <w:spacing w:val="-2"/>
        </w:rPr>
        <w:t> </w:t>
      </w:r>
      <w:r>
        <w:rPr>
          <w:color w:val="231F20"/>
        </w:rPr>
        <w:t>coverage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available,</w:t>
      </w:r>
      <w:r>
        <w:rPr>
          <w:color w:val="231F20"/>
          <w:spacing w:val="-2"/>
        </w:rPr>
        <w:t> including:</w:t>
      </w:r>
    </w:p>
    <w:p>
      <w:pPr>
        <w:pStyle w:val="ListParagraph"/>
        <w:numPr>
          <w:ilvl w:val="1"/>
          <w:numId w:val="2"/>
        </w:numPr>
        <w:tabs>
          <w:tab w:pos="858" w:val="left" w:leader="none"/>
        </w:tabs>
        <w:spacing w:line="240" w:lineRule="auto" w:before="90" w:after="0"/>
        <w:ind w:left="858" w:right="458" w:hanging="270"/>
        <w:jc w:val="left"/>
        <w:rPr>
          <w:sz w:val="19"/>
        </w:rPr>
      </w:pPr>
      <w:r>
        <w:rPr>
          <w:color w:val="231F20"/>
          <w:sz w:val="19"/>
        </w:rPr>
        <w:t>a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California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Land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Title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Association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(CLTA)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standard </w:t>
      </w:r>
      <w:r>
        <w:rPr>
          <w:color w:val="231F20"/>
          <w:spacing w:val="-2"/>
          <w:sz w:val="19"/>
        </w:rPr>
        <w:t>policy;</w:t>
      </w:r>
    </w:p>
    <w:p>
      <w:pPr>
        <w:pStyle w:val="ListParagraph"/>
        <w:numPr>
          <w:ilvl w:val="1"/>
          <w:numId w:val="2"/>
        </w:numPr>
        <w:tabs>
          <w:tab w:pos="858" w:val="left" w:leader="none"/>
        </w:tabs>
        <w:spacing w:line="240" w:lineRule="auto" w:before="62" w:after="0"/>
        <w:ind w:left="858" w:right="458" w:hanging="270"/>
        <w:jc w:val="left"/>
        <w:rPr>
          <w:sz w:val="19"/>
        </w:rPr>
      </w:pPr>
      <w:r>
        <w:rPr>
          <w:color w:val="231F20"/>
          <w:sz w:val="19"/>
        </w:rPr>
        <w:t>an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American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Land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Title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Association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(ALTA)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owner’s extended coverage policy;</w:t>
      </w:r>
    </w:p>
    <w:p>
      <w:pPr>
        <w:pStyle w:val="ListParagraph"/>
        <w:numPr>
          <w:ilvl w:val="1"/>
          <w:numId w:val="2"/>
        </w:numPr>
        <w:tabs>
          <w:tab w:pos="858" w:val="left" w:leader="none"/>
        </w:tabs>
        <w:spacing w:line="240" w:lineRule="auto" w:before="61" w:after="0"/>
        <w:ind w:left="858" w:right="0" w:hanging="270"/>
        <w:jc w:val="left"/>
        <w:rPr>
          <w:sz w:val="19"/>
        </w:rPr>
      </w:pPr>
      <w:r>
        <w:rPr>
          <w:color w:val="231F20"/>
          <w:spacing w:val="-2"/>
          <w:sz w:val="19"/>
        </w:rPr>
        <w:t>an</w:t>
      </w:r>
      <w:r>
        <w:rPr>
          <w:color w:val="231F20"/>
          <w:spacing w:val="-12"/>
          <w:sz w:val="19"/>
        </w:rPr>
        <w:t> </w:t>
      </w:r>
      <w:r>
        <w:rPr>
          <w:color w:val="231F20"/>
          <w:spacing w:val="-2"/>
          <w:sz w:val="19"/>
        </w:rPr>
        <w:t>ALTA</w:t>
      </w:r>
      <w:r>
        <w:rPr>
          <w:color w:val="231F20"/>
          <w:spacing w:val="-11"/>
          <w:sz w:val="19"/>
        </w:rPr>
        <w:t> </w:t>
      </w:r>
      <w:r>
        <w:rPr>
          <w:color w:val="231F20"/>
          <w:spacing w:val="-2"/>
          <w:sz w:val="19"/>
        </w:rPr>
        <w:t>residential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(ALTA-R) policy;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5"/>
          <w:sz w:val="19"/>
        </w:rPr>
        <w:t>and</w:t>
      </w:r>
    </w:p>
    <w:p>
      <w:pPr>
        <w:pStyle w:val="ListParagraph"/>
        <w:numPr>
          <w:ilvl w:val="1"/>
          <w:numId w:val="2"/>
        </w:numPr>
        <w:tabs>
          <w:tab w:pos="858" w:val="left" w:leader="none"/>
        </w:tabs>
        <w:spacing w:line="240" w:lineRule="auto" w:before="61" w:after="0"/>
        <w:ind w:left="858" w:right="0" w:hanging="270"/>
        <w:jc w:val="left"/>
        <w:rPr>
          <w:sz w:val="19"/>
        </w:rPr>
      </w:pPr>
      <w:r>
        <w:rPr>
          <w:color w:val="231F20"/>
          <w:spacing w:val="-2"/>
          <w:sz w:val="19"/>
        </w:rPr>
        <w:t>an</w:t>
      </w:r>
      <w:r>
        <w:rPr>
          <w:color w:val="231F20"/>
          <w:spacing w:val="-10"/>
          <w:sz w:val="19"/>
        </w:rPr>
        <w:t> </w:t>
      </w:r>
      <w:r>
        <w:rPr>
          <w:color w:val="231F20"/>
          <w:spacing w:val="-2"/>
          <w:sz w:val="19"/>
        </w:rPr>
        <w:t>ALTA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homeowner’s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2"/>
          <w:sz w:val="19"/>
        </w:rPr>
        <w:t>policy.</w:t>
      </w:r>
    </w:p>
    <w:p>
      <w:pPr>
        <w:pStyle w:val="BodyText"/>
        <w:spacing w:before="90"/>
        <w:ind w:left="319" w:right="458" w:firstLine="0"/>
        <w:jc w:val="both"/>
      </w:pP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agent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inform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coverage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-8"/>
        </w:rPr>
        <w:t> </w:t>
      </w:r>
      <w:r>
        <w:rPr>
          <w:color w:val="231F20"/>
        </w:rPr>
        <w:t>best</w:t>
      </w:r>
      <w:r>
        <w:rPr>
          <w:color w:val="231F20"/>
          <w:spacing w:val="-8"/>
        </w:rPr>
        <w:t> </w:t>
      </w:r>
      <w:r>
        <w:rPr>
          <w:color w:val="231F20"/>
        </w:rPr>
        <w:t>suits your</w:t>
      </w:r>
      <w:r>
        <w:rPr>
          <w:color w:val="231F20"/>
          <w:spacing w:val="-9"/>
        </w:rPr>
        <w:t> </w:t>
      </w:r>
      <w:r>
        <w:rPr>
          <w:color w:val="231F20"/>
        </w:rPr>
        <w:t>transaction</w:t>
      </w:r>
      <w:r>
        <w:rPr>
          <w:color w:val="231F20"/>
          <w:spacing w:val="-8"/>
        </w:rPr>
        <w:t> </w:t>
      </w:r>
      <w:r>
        <w:rPr>
          <w:color w:val="231F20"/>
        </w:rPr>
        <w:t>when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</w:rPr>
        <w:t>offer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purchase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property.</w:t>
      </w:r>
    </w:p>
    <w:p>
      <w:pPr>
        <w:pStyle w:val="BodyText"/>
        <w:spacing w:before="90"/>
        <w:ind w:left="319" w:right="458" w:firstLine="0"/>
        <w:jc w:val="both"/>
      </w:pPr>
      <w:r>
        <w:rPr>
          <w:color w:val="231F20"/>
        </w:rPr>
        <w:t>The type of title insurance policy you choose and who will</w:t>
      </w:r>
      <w:r>
        <w:rPr>
          <w:color w:val="231F20"/>
          <w:spacing w:val="80"/>
        </w:rPr>
        <w:t> </w:t>
      </w:r>
      <w:r>
        <w:rPr>
          <w:color w:val="231F20"/>
        </w:rPr>
        <w:t>pay the title insurance premium is designated in the purchase agreement’s title insurance provision.</w:t>
      </w:r>
    </w:p>
    <w:p>
      <w:pPr>
        <w:pStyle w:val="BodyText"/>
        <w:spacing w:before="90"/>
        <w:ind w:left="319" w:right="458" w:firstLine="0"/>
        <w:jc w:val="both"/>
      </w:pP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</w:rPr>
        <w:t>title</w:t>
      </w:r>
      <w:r>
        <w:rPr>
          <w:color w:val="231F20"/>
          <w:spacing w:val="-13"/>
        </w:rPr>
        <w:t> </w:t>
      </w:r>
      <w:r>
        <w:rPr>
          <w:color w:val="231F20"/>
        </w:rPr>
        <w:t>insurance</w:t>
      </w:r>
      <w:r>
        <w:rPr>
          <w:color w:val="231F20"/>
          <w:spacing w:val="-13"/>
        </w:rPr>
        <w:t> </w:t>
      </w:r>
      <w:r>
        <w:rPr>
          <w:color w:val="231F20"/>
        </w:rPr>
        <w:t>policy</w:t>
      </w:r>
      <w:r>
        <w:rPr>
          <w:color w:val="231F20"/>
          <w:spacing w:val="-13"/>
        </w:rPr>
        <w:t> </w:t>
      </w:r>
      <w:r>
        <w:rPr>
          <w:color w:val="231F20"/>
        </w:rPr>
        <w:t>provides</w:t>
      </w:r>
      <w:r>
        <w:rPr>
          <w:color w:val="231F20"/>
          <w:spacing w:val="-13"/>
        </w:rPr>
        <w:t> </w:t>
      </w:r>
      <w:r>
        <w:rPr>
          <w:color w:val="231F20"/>
        </w:rPr>
        <w:t>coverage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long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you own the property. Coverage is limited to the dollar amount of the policy, which is adjusted for annual inflation.</w:t>
      </w:r>
    </w:p>
    <w:p>
      <w:pPr>
        <w:spacing w:after="0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spacing w:before="20"/>
        <w:ind w:left="0" w:firstLine="0"/>
        <w:rPr>
          <w:sz w:val="20"/>
        </w:rPr>
      </w:pPr>
    </w:p>
    <w:p>
      <w:pPr>
        <w:spacing w:line="249" w:lineRule="auto" w:before="1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97560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163296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57953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99" w:hanging="27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8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left="999" w:hanging="270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52" w:lineRule="exact"/>
    </w:pPr>
    <w:rPr>
      <w:rFonts w:ascii="Arial" w:hAnsi="Arial" w:eastAsia="Arial" w:cs="Arial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999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2024-09-08T23:54:41Z</dcterms:created>
  <dcterms:modified xsi:type="dcterms:W3CDTF">2024-09-08T23:54:41Z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