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1819655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02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trust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same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mortgage?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3" coordorigin="0,0" coordsize="11520,4637">
                <v:shape style="position:absolute;left:0;top:0;width:11520;height:4637" type="#_x0000_t75" id="docshape4" stroked="false">
                  <v:imagedata r:id="rId6" o:title=""/>
                </v:shape>
                <v:shape style="position:absolute;left:0;top:2865;width:11520;height:1316" type="#_x0000_t202" id="docshape5" filled="true" fillcolor="#d2232a" stroked="false">
                  <v:textbox inset="0,0,0,0">
                    <w:txbxContent>
                      <w:p>
                        <w:pPr>
                          <w:spacing w:before="402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trust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deed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same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mortgage?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2009" w:top="380" w:bottom="2200" w:left="260" w:right="260"/>
          <w:pgNumType w:start="1"/>
        </w:sectPr>
      </w:pPr>
    </w:p>
    <w:p>
      <w:pPr>
        <w:spacing w:before="93"/>
        <w:ind w:left="1293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457200</wp:posOffset>
                </wp:positionH>
                <wp:positionV relativeFrom="paragraph">
                  <wp:posOffset>17673</wp:posOffset>
                </wp:positionV>
                <wp:extent cx="419734" cy="4438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19734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9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6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39159pt;width:33.050pt;height:34.950pt;mso-position-horizontal-relative:page;mso-position-vertical-relative:paragraph;z-index:-15770624" type="#_x0000_t202" id="docshape6" filled="false" stroked="false">
                <v:textbox inset="0,0,0,0">
                  <w:txbxContent>
                    <w:p>
                      <w:pPr>
                        <w:spacing w:line="698" w:lineRule="exact" w:before="0"/>
                        <w:ind w:left="0" w:right="0" w:firstLine="0"/>
                        <w:jc w:val="left"/>
                        <w:rPr>
                          <w:b/>
                          <w:sz w:val="6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6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4"/>
        </w:rPr>
        <w:t>“Mortgage”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more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commonly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used term</w:t>
      </w:r>
      <w:r>
        <w:rPr>
          <w:color w:val="231F20"/>
          <w:spacing w:val="41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41"/>
          <w:sz w:val="24"/>
        </w:rPr>
        <w:t> </w:t>
      </w:r>
      <w:r>
        <w:rPr>
          <w:b/>
          <w:color w:val="231F20"/>
          <w:sz w:val="24"/>
        </w:rPr>
        <w:t>note</w:t>
      </w:r>
      <w:r>
        <w:rPr>
          <w:b/>
          <w:color w:val="231F20"/>
          <w:spacing w:val="42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41"/>
          <w:sz w:val="24"/>
        </w:rPr>
        <w:t> </w:t>
      </w:r>
      <w:r>
        <w:rPr>
          <w:b/>
          <w:color w:val="231F20"/>
          <w:sz w:val="24"/>
        </w:rPr>
        <w:t>trust</w:t>
      </w:r>
      <w:r>
        <w:rPr>
          <w:b/>
          <w:color w:val="231F20"/>
          <w:spacing w:val="42"/>
          <w:sz w:val="24"/>
        </w:rPr>
        <w:t> </w:t>
      </w:r>
      <w:r>
        <w:rPr>
          <w:b/>
          <w:color w:val="231F20"/>
          <w:sz w:val="24"/>
        </w:rPr>
        <w:t>deed</w:t>
      </w:r>
      <w:r>
        <w:rPr>
          <w:b/>
          <w:color w:val="231F20"/>
          <w:spacing w:val="4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42"/>
          <w:sz w:val="24"/>
        </w:rPr>
        <w:t> </w:t>
      </w:r>
      <w:r>
        <w:rPr>
          <w:color w:val="231F20"/>
          <w:spacing w:val="-4"/>
          <w:sz w:val="24"/>
        </w:rPr>
        <w:t>real</w:t>
      </w:r>
    </w:p>
    <w:p>
      <w:pPr>
        <w:pStyle w:val="BodyText"/>
        <w:ind w:left="459"/>
        <w:jc w:val="both"/>
      </w:pPr>
      <w:r>
        <w:rPr>
          <w:color w:val="231F20"/>
        </w:rPr>
        <w:t>estate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financing.</w:t>
      </w:r>
    </w:p>
    <w:p>
      <w:pPr>
        <w:pStyle w:val="BodyText"/>
      </w:pPr>
    </w:p>
    <w:p>
      <w:pPr>
        <w:pStyle w:val="BodyText"/>
        <w:ind w:left="459"/>
        <w:jc w:val="both"/>
      </w:pPr>
      <w:r>
        <w:rPr>
          <w:color w:val="231F20"/>
        </w:rPr>
        <w:t>When</w:t>
      </w:r>
      <w:r>
        <w:rPr>
          <w:color w:val="231F20"/>
          <w:spacing w:val="-1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obtain</w:t>
      </w:r>
      <w:r>
        <w:rPr>
          <w:color w:val="231F20"/>
          <w:spacing w:val="-1"/>
        </w:rPr>
        <w:t> </w:t>
      </w:r>
      <w:r>
        <w:rPr>
          <w:color w:val="231F20"/>
        </w:rPr>
        <w:t>mortgage</w:t>
      </w:r>
      <w:r>
        <w:rPr>
          <w:color w:val="231F20"/>
          <w:spacing w:val="-1"/>
        </w:rPr>
        <w:t> </w:t>
      </w:r>
      <w:r>
        <w:rPr>
          <w:color w:val="231F20"/>
        </w:rPr>
        <w:t>financing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home, the</w:t>
      </w:r>
      <w:r>
        <w:rPr>
          <w:color w:val="231F20"/>
          <w:spacing w:val="-1"/>
        </w:rPr>
        <w:t> </w:t>
      </w:r>
      <w:r>
        <w:rPr>
          <w:color w:val="231F20"/>
        </w:rPr>
        <w:t>mortgage</w:t>
      </w:r>
      <w:r>
        <w:rPr>
          <w:color w:val="231F20"/>
          <w:spacing w:val="-1"/>
        </w:rPr>
        <w:t> </w:t>
      </w:r>
      <w:r>
        <w:rPr>
          <w:color w:val="231F20"/>
        </w:rPr>
        <w:t>debt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promise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pay</w:t>
      </w:r>
      <w:r>
        <w:rPr>
          <w:color w:val="231F20"/>
          <w:spacing w:val="-1"/>
        </w:rPr>
        <w:t> </w:t>
      </w:r>
      <w:r>
        <w:rPr>
          <w:color w:val="231F20"/>
        </w:rPr>
        <w:t>it</w:t>
      </w:r>
      <w:r>
        <w:rPr>
          <w:color w:val="231F20"/>
          <w:spacing w:val="-1"/>
        </w:rPr>
        <w:t> </w:t>
      </w:r>
      <w:r>
        <w:rPr>
          <w:color w:val="231F20"/>
        </w:rPr>
        <w:t>are set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written</w:t>
      </w:r>
      <w:r>
        <w:rPr>
          <w:color w:val="231F20"/>
          <w:spacing w:val="-3"/>
        </w:rPr>
        <w:t> </w:t>
      </w:r>
      <w:r>
        <w:rPr>
          <w:color w:val="231F20"/>
        </w:rPr>
        <w:t>document</w:t>
      </w:r>
      <w:r>
        <w:rPr>
          <w:color w:val="231F20"/>
          <w:spacing w:val="-3"/>
        </w:rPr>
        <w:t> </w:t>
      </w:r>
      <w:r>
        <w:rPr>
          <w:color w:val="231F20"/>
        </w:rPr>
        <w:t>called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promissory </w:t>
      </w:r>
      <w:r>
        <w:rPr>
          <w:color w:val="231F20"/>
          <w:spacing w:val="-2"/>
        </w:rPr>
        <w:t>note.</w:t>
      </w:r>
    </w:p>
    <w:p>
      <w:pPr>
        <w:pStyle w:val="BodyText"/>
      </w:pPr>
    </w:p>
    <w:p>
      <w:pPr>
        <w:pStyle w:val="BodyText"/>
        <w:ind w:left="459" w:right="1"/>
        <w:jc w:val="both"/>
      </w:pPr>
      <w:r>
        <w:rPr>
          <w:color w:val="231F20"/>
        </w:rPr>
        <w:t>The debt evidenced by the note is backed by an asset, known as the security or collateral.</w:t>
      </w:r>
    </w:p>
    <w:p>
      <w:pPr>
        <w:pStyle w:val="BodyText"/>
      </w:pPr>
    </w:p>
    <w:p>
      <w:pPr>
        <w:pStyle w:val="BodyText"/>
        <w:ind w:left="459" w:right="1"/>
        <w:jc w:val="both"/>
      </w:pPr>
      <w:r>
        <w:rPr>
          <w:color w:val="231F20"/>
        </w:rPr>
        <w:t>Mortgage debt is secured by your home and attached to the property as a lien on title through the use of a trust deed.</w:t>
      </w:r>
    </w:p>
    <w:p>
      <w:pPr>
        <w:pStyle w:val="BodyText"/>
      </w:pPr>
    </w:p>
    <w:p>
      <w:pPr>
        <w:pStyle w:val="BodyText"/>
        <w:ind w:left="459"/>
        <w:jc w:val="both"/>
      </w:pPr>
      <w:r>
        <w:rPr>
          <w:color w:val="231F20"/>
        </w:rPr>
        <w:t>Your home, when subject to the trust deed lien, acts as security for payment of the debt incurred to purchase or refinance your home.</w:t>
      </w:r>
    </w:p>
    <w:p>
      <w:pPr>
        <w:pStyle w:val="BodyText"/>
      </w:pPr>
    </w:p>
    <w:p>
      <w:pPr>
        <w:pStyle w:val="BodyText"/>
        <w:ind w:left="459"/>
        <w:jc w:val="both"/>
      </w:pPr>
      <w:r>
        <w:rPr>
          <w:color w:val="231F20"/>
        </w:rPr>
        <w:t>The trust deed is recorded in the county records to give public notice and establish priority of the lender’s security interest in your home.</w:t>
      </w:r>
    </w:p>
    <w:p>
      <w:pPr>
        <w:pStyle w:val="BodyText"/>
        <w:spacing w:before="93"/>
        <w:ind w:left="318" w:right="457"/>
        <w:jc w:val="both"/>
      </w:pPr>
      <w:r>
        <w:rPr/>
        <w:br w:type="column"/>
      </w:r>
      <w:r>
        <w:rPr>
          <w:color w:val="231F20"/>
        </w:rPr>
        <w:t>Although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note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trust</w:t>
      </w:r>
      <w:r>
        <w:rPr>
          <w:color w:val="231F20"/>
          <w:spacing w:val="40"/>
        </w:rPr>
        <w:t> </w:t>
      </w:r>
      <w:r>
        <w:rPr>
          <w:color w:val="231F20"/>
        </w:rPr>
        <w:t>deed</w:t>
      </w:r>
      <w:r>
        <w:rPr>
          <w:color w:val="231F20"/>
          <w:spacing w:val="40"/>
        </w:rPr>
        <w:t> </w:t>
      </w:r>
      <w:r>
        <w:rPr>
          <w:color w:val="231F20"/>
        </w:rPr>
        <w:t>you</w:t>
      </w:r>
      <w:r>
        <w:rPr>
          <w:color w:val="231F20"/>
          <w:spacing w:val="40"/>
        </w:rPr>
        <w:t> </w:t>
      </w:r>
      <w:r>
        <w:rPr>
          <w:color w:val="231F20"/>
        </w:rPr>
        <w:t>execute in favor of a mortgage holder are separate documents,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trust</w:t>
      </w:r>
      <w:r>
        <w:rPr>
          <w:color w:val="231F20"/>
          <w:spacing w:val="37"/>
        </w:rPr>
        <w:t> </w:t>
      </w:r>
      <w:r>
        <w:rPr>
          <w:color w:val="231F20"/>
        </w:rPr>
        <w:t>deed</w:t>
      </w:r>
      <w:r>
        <w:rPr>
          <w:color w:val="231F20"/>
          <w:spacing w:val="37"/>
        </w:rPr>
        <w:t> </w:t>
      </w:r>
      <w:r>
        <w:rPr>
          <w:color w:val="231F20"/>
        </w:rPr>
        <w:t>is</w:t>
      </w:r>
      <w:r>
        <w:rPr>
          <w:color w:val="231F20"/>
          <w:spacing w:val="37"/>
        </w:rPr>
        <w:t> </w:t>
      </w:r>
      <w:r>
        <w:rPr>
          <w:color w:val="231F20"/>
        </w:rPr>
        <w:t>only</w:t>
      </w:r>
      <w:r>
        <w:rPr>
          <w:color w:val="231F20"/>
          <w:spacing w:val="37"/>
        </w:rPr>
        <w:t> </w:t>
      </w:r>
      <w:r>
        <w:rPr>
          <w:color w:val="231F20"/>
        </w:rPr>
        <w:t>effective</w:t>
      </w:r>
      <w:r>
        <w:rPr>
          <w:color w:val="231F20"/>
          <w:spacing w:val="37"/>
        </w:rPr>
        <w:t> </w:t>
      </w:r>
      <w:r>
        <w:rPr>
          <w:color w:val="231F20"/>
        </w:rPr>
        <w:t>when it provides security by reference to an existing promise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pay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perform</w:t>
      </w:r>
      <w:r>
        <w:rPr>
          <w:color w:val="231F20"/>
          <w:spacing w:val="-1"/>
        </w:rPr>
        <w:t> </w:t>
      </w:r>
      <w:r>
        <w:rPr>
          <w:color w:val="231F20"/>
        </w:rPr>
        <w:t>any</w:t>
      </w:r>
      <w:r>
        <w:rPr>
          <w:color w:val="231F20"/>
          <w:spacing w:val="-1"/>
        </w:rPr>
        <w:t> </w:t>
      </w:r>
      <w:r>
        <w:rPr>
          <w:color w:val="231F20"/>
        </w:rPr>
        <w:t>lawful</w:t>
      </w:r>
      <w:r>
        <w:rPr>
          <w:color w:val="231F20"/>
          <w:spacing w:val="-1"/>
        </w:rPr>
        <w:t> </w:t>
      </w:r>
      <w:r>
        <w:rPr>
          <w:color w:val="231F20"/>
        </w:rPr>
        <w:t>act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has a monetary value.</w:t>
      </w:r>
    </w:p>
    <w:p>
      <w:pPr>
        <w:pStyle w:val="BodyText"/>
      </w:pPr>
    </w:p>
    <w:p>
      <w:pPr>
        <w:pStyle w:val="BodyText"/>
        <w:ind w:left="318" w:right="458"/>
        <w:jc w:val="both"/>
      </w:pPr>
      <w:r>
        <w:rPr>
          <w:color w:val="231F20"/>
        </w:rPr>
        <w:t>Further, the note and trust deed composing the mortgage constitute one contract to be read </w:t>
      </w:r>
      <w:r>
        <w:rPr>
          <w:color w:val="231F20"/>
          <w:spacing w:val="-2"/>
        </w:rPr>
        <w:t>together.</w:t>
      </w:r>
    </w:p>
    <w:p>
      <w:pPr>
        <w:pStyle w:val="BodyText"/>
      </w:pPr>
    </w:p>
    <w:p>
      <w:pPr>
        <w:pStyle w:val="BodyText"/>
        <w:ind w:left="318" w:right="457"/>
        <w:jc w:val="both"/>
      </w:pPr>
      <w:r>
        <w:rPr>
          <w:color w:val="231F20"/>
        </w:rPr>
        <w:t>When you fully pay the debt secured by a trust deed</w:t>
      </w:r>
      <w:r>
        <w:rPr>
          <w:color w:val="231F20"/>
          <w:spacing w:val="-3"/>
        </w:rPr>
        <w:t> </w:t>
      </w:r>
      <w:r>
        <w:rPr>
          <w:color w:val="231F20"/>
        </w:rPr>
        <w:t>lien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home,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lien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removed</w:t>
      </w:r>
      <w:r>
        <w:rPr>
          <w:color w:val="231F20"/>
          <w:spacing w:val="-3"/>
        </w:rPr>
        <w:t> </w:t>
      </w:r>
      <w:r>
        <w:rPr>
          <w:color w:val="231F20"/>
        </w:rPr>
        <w:t>from title as satisfied.</w:t>
      </w:r>
    </w:p>
    <w:p>
      <w:pPr>
        <w:pStyle w:val="BodyText"/>
      </w:pPr>
    </w:p>
    <w:p>
      <w:pPr>
        <w:pStyle w:val="BodyText"/>
        <w:ind w:left="318" w:right="458"/>
        <w:jc w:val="both"/>
      </w:pP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release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mortgage</w:t>
      </w:r>
      <w:r>
        <w:rPr>
          <w:color w:val="231F20"/>
          <w:spacing w:val="40"/>
        </w:rPr>
        <w:t> </w:t>
      </w:r>
      <w:r>
        <w:rPr>
          <w:color w:val="231F20"/>
        </w:rPr>
        <w:t>holder’s</w:t>
      </w:r>
      <w:r>
        <w:rPr>
          <w:color w:val="231F20"/>
          <w:spacing w:val="40"/>
        </w:rPr>
        <w:t> </w:t>
      </w:r>
      <w:r>
        <w:rPr>
          <w:color w:val="231F20"/>
        </w:rPr>
        <w:t>trust</w:t>
      </w:r>
      <w:r>
        <w:rPr>
          <w:color w:val="231F20"/>
          <w:spacing w:val="40"/>
        </w:rPr>
        <w:t> </w:t>
      </w:r>
      <w:r>
        <w:rPr>
          <w:color w:val="231F20"/>
        </w:rPr>
        <w:t>deed lien from title to your home — a process called reconveyance — the trustee named in the trust </w:t>
      </w:r>
      <w:r>
        <w:rPr>
          <w:color w:val="231F20"/>
          <w:spacing w:val="-2"/>
        </w:rPr>
        <w:t>deed: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458" w:hanging="270"/>
        <w:jc w:val="both"/>
        <w:rPr>
          <w:sz w:val="24"/>
        </w:rPr>
      </w:pPr>
      <w:r>
        <w:rPr>
          <w:color w:val="231F20"/>
          <w:sz w:val="24"/>
        </w:rPr>
        <w:t>obtains the original note and a request for reconveyance from the mortgage holder; </w:t>
      </w:r>
      <w:r>
        <w:rPr>
          <w:color w:val="231F20"/>
          <w:spacing w:val="-4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458" w:hanging="270"/>
        <w:jc w:val="both"/>
        <w:rPr>
          <w:sz w:val="24"/>
        </w:rPr>
      </w:pPr>
      <w:r>
        <w:rPr>
          <w:color w:val="231F20"/>
          <w:sz w:val="24"/>
        </w:rPr>
        <w:t>prepares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records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reconveyance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the trust deed.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header="0" w:footer="2009" w:top="380" w:bottom="2200" w:left="260" w:right="260"/>
          <w:cols w:num="2" w:equalWidth="0">
            <w:col w:w="5682" w:space="40"/>
            <w:col w:w="59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spacing w:line="249" w:lineRule="auto" w:before="0"/>
        <w:ind w:left="1136" w:right="880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2009" w:top="380" w:bottom="220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228600</wp:posOffset>
              </wp:positionH>
              <wp:positionV relativeFrom="page">
                <wp:posOffset>9715500</wp:posOffset>
              </wp:positionV>
              <wp:extent cx="7315200" cy="2286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315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 h="228600">
                            <a:moveTo>
                              <a:pt x="7315200" y="0"/>
                            </a:moveTo>
                            <a:lnTo>
                              <a:pt x="0" y="0"/>
                            </a:lnTo>
                            <a:lnTo>
                              <a:pt x="0" y="228600"/>
                            </a:lnTo>
                            <a:lnTo>
                              <a:pt x="7315200" y="228600"/>
                            </a:lnTo>
                            <a:lnTo>
                              <a:pt x="7315200" y="0"/>
                            </a:lnTo>
                            <a:close/>
                          </a:path>
                        </a:pathLst>
                      </a:custGeom>
                      <a:solidFill>
                        <a:srgbClr val="D22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pt;margin-top:765pt;width:576pt;height:18pt;mso-position-horizontal-relative:page;mso-position-vertical-relative:page;z-index:-15771136" id="docshape1" filled="true" fillcolor="#d2232a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5689014</wp:posOffset>
          </wp:positionH>
          <wp:positionV relativeFrom="page">
            <wp:posOffset>8671685</wp:posOffset>
          </wp:positionV>
          <wp:extent cx="600807" cy="69290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875423</wp:posOffset>
              </wp:positionH>
              <wp:positionV relativeFrom="page">
                <wp:posOffset>8642925</wp:posOffset>
              </wp:positionV>
              <wp:extent cx="1671955" cy="6248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LIC#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01474985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925-395-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0175</w:t>
                          </w:r>
                        </w:p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80.545288pt;width:131.65pt;height:49.2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LIC#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01474985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925-395-</w:t>
                    </w:r>
                    <w:r>
                      <w:rPr>
                        <w:spacing w:val="-4"/>
                        <w:sz w:val="20"/>
                      </w:rPr>
                      <w:t>0175</w:t>
                    </w:r>
                  </w:p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  <w:sz w:val="20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58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8" w:lineRule="exact"/>
    </w:pPr>
    <w:rPr>
      <w:rFonts w:ascii="Arial" w:hAnsi="Arial" w:eastAsia="Arial" w:cs="Arial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8" w:right="458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2024-09-08T23:20:06Z</dcterms:created>
  <dcterms:modified xsi:type="dcterms:W3CDTF">2024-09-08T23:20:06Z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