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48" w:rsidRDefault="00485248">
      <w:pPr>
        <w:pStyle w:val="Normal1"/>
      </w:pPr>
      <w:bookmarkStart w:id="0" w:name="_GoBack"/>
      <w:bookmarkEnd w:id="0"/>
    </w:p>
    <w:p w:rsidR="00A3771A" w:rsidRDefault="00A3771A" w:rsidP="00A3771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ECO Laboratory Services</w:t>
      </w:r>
    </w:p>
    <w:p w:rsidR="00A3771A" w:rsidRDefault="00A3771A" w:rsidP="00A3771A">
      <w:pPr>
        <w:rPr>
          <w:rFonts w:ascii="Arial" w:hAnsi="Arial" w:cs="Arial"/>
          <w:sz w:val="20"/>
          <w:szCs w:val="20"/>
        </w:rPr>
      </w:pPr>
    </w:p>
    <w:p w:rsidR="00A3771A" w:rsidRDefault="00A3771A" w:rsidP="00A3771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Lyme IgG Western Blot</w:t>
      </w:r>
    </w:p>
    <w:p w:rsidR="00A3771A" w:rsidRDefault="00A3771A" w:rsidP="00A3771A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assay is intended to be used for the testing of human serum samples which have been found to be positive or equivocal by EIA or IFA assays.  A positive result is presumptive evidence of infection with </w:t>
      </w:r>
      <w:r>
        <w:rPr>
          <w:rFonts w:ascii="Arial" w:hAnsi="Arial" w:cs="Arial"/>
          <w:i/>
          <w:iCs/>
          <w:sz w:val="20"/>
          <w:szCs w:val="20"/>
        </w:rPr>
        <w:t>B. burgdorferi</w:t>
      </w:r>
      <w:r>
        <w:rPr>
          <w:rFonts w:ascii="Arial" w:hAnsi="Arial" w:cs="Arial"/>
          <w:sz w:val="20"/>
          <w:szCs w:val="20"/>
        </w:rPr>
        <w:t>, the causative agent for Lyme disease.</w:t>
      </w:r>
    </w:p>
    <w:p w:rsidR="00A3771A" w:rsidRDefault="00A3771A" w:rsidP="00A3771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A3771A" w:rsidRDefault="00A3771A" w:rsidP="00A3771A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under aseptic conditions.  Avoid hemolysis by prompt separation of the serum from the clot.  Specimens can be shipped in the red top tube (serum separator tube) after centrifugation.</w:t>
      </w:r>
    </w:p>
    <w:p w:rsidR="00A3771A" w:rsidRDefault="00A3771A" w:rsidP="00A3771A">
      <w:pPr>
        <w:rPr>
          <w:rFonts w:asciiTheme="minorHAnsi" w:hAnsiTheme="minorHAnsi" w:cstheme="minorBidi"/>
        </w:rPr>
      </w:pPr>
      <w:bookmarkStart w:id="1" w:name="_Hlk16766945"/>
      <w:r>
        <w:t>Specimen Requirements for testing:</w:t>
      </w:r>
    </w:p>
    <w:bookmarkEnd w:id="1"/>
    <w:p w:rsidR="00A3771A" w:rsidRDefault="00A3771A" w:rsidP="00A3771A">
      <w:pPr>
        <w:tabs>
          <w:tab w:val="left" w:pos="1800"/>
        </w:tabs>
        <w:spacing w:after="0"/>
      </w:pPr>
      <w:r>
        <w:t>Type of Specimen:  Serum</w:t>
      </w:r>
    </w:p>
    <w:p w:rsidR="00A3771A" w:rsidRDefault="00A3771A" w:rsidP="00A3771A">
      <w:pPr>
        <w:spacing w:after="0"/>
      </w:pPr>
      <w:r>
        <w:t>Volume:                    0.5mL</w:t>
      </w:r>
    </w:p>
    <w:p w:rsidR="00A3771A" w:rsidRDefault="00A3771A" w:rsidP="00A3771A">
      <w:pPr>
        <w:spacing w:after="0"/>
      </w:pPr>
      <w:r>
        <w:t>Minimum Volume:  0.2mL</w:t>
      </w:r>
    </w:p>
    <w:p w:rsidR="00A3771A" w:rsidRDefault="00A3771A" w:rsidP="00A3771A">
      <w:pPr>
        <w:spacing w:after="0"/>
      </w:pPr>
      <w:r>
        <w:t>Storage:                     Refrigerate at 2-8</w:t>
      </w:r>
      <w:r>
        <w:rPr>
          <w:vertAlign w:val="superscript"/>
        </w:rPr>
        <w:t>o</w:t>
      </w:r>
      <w:r>
        <w:t>C</w:t>
      </w:r>
    </w:p>
    <w:p w:rsidR="00A3771A" w:rsidRDefault="00A3771A" w:rsidP="00A3771A">
      <w:pPr>
        <w:tabs>
          <w:tab w:val="left" w:pos="1710"/>
          <w:tab w:val="left" w:pos="1890"/>
        </w:tabs>
        <w:spacing w:after="0"/>
      </w:pPr>
      <w:r>
        <w:t>Stability:                    7 days at 2-8</w:t>
      </w:r>
      <w:r>
        <w:rPr>
          <w:vertAlign w:val="superscript"/>
        </w:rPr>
        <w:t>o</w:t>
      </w:r>
      <w:r>
        <w:t>C</w:t>
      </w:r>
    </w:p>
    <w:p w:rsidR="00A3771A" w:rsidRDefault="00A3771A" w:rsidP="00A3771A">
      <w:pPr>
        <w:tabs>
          <w:tab w:val="left" w:pos="1800"/>
        </w:tabs>
        <w:spacing w:after="0"/>
        <w:ind w:left="1800" w:hanging="1800"/>
      </w:pPr>
      <w:r>
        <w:t xml:space="preserve">                                   3-6 months at -20</w:t>
      </w:r>
      <w:r>
        <w:rPr>
          <w:vertAlign w:val="superscript"/>
        </w:rPr>
        <w:t>o</w:t>
      </w:r>
      <w:r>
        <w:t>C</w:t>
      </w:r>
    </w:p>
    <w:p w:rsidR="00A3771A" w:rsidRDefault="00A3771A" w:rsidP="00A3771A">
      <w:pPr>
        <w:spacing w:after="0"/>
      </w:pPr>
      <w:r>
        <w:t>Shipping:                   Ambient</w:t>
      </w:r>
    </w:p>
    <w:p w:rsidR="00A3771A" w:rsidRDefault="00A3771A" w:rsidP="00A3771A">
      <w:pPr>
        <w:spacing w:after="0"/>
      </w:pPr>
      <w:bookmarkStart w:id="2" w:name="_Hlk16767000"/>
      <w:r>
        <w:t>Turnaround Time:   24-48 hours from receipt</w:t>
      </w:r>
    </w:p>
    <w:bookmarkEnd w:id="2"/>
    <w:p w:rsidR="00A3771A" w:rsidRDefault="00A3771A" w:rsidP="00A3771A">
      <w:pPr>
        <w:spacing w:after="0"/>
      </w:pPr>
      <w:r>
        <w:t>CPT Code:                  84181</w:t>
      </w:r>
    </w:p>
    <w:p w:rsidR="00A3771A" w:rsidRDefault="00A3771A" w:rsidP="00A3771A">
      <w:pPr>
        <w:spacing w:after="0"/>
      </w:pPr>
    </w:p>
    <w:p w:rsidR="00A3771A" w:rsidRDefault="00A3771A" w:rsidP="00A3771A">
      <w:pPr>
        <w:spacing w:after="0"/>
      </w:pPr>
    </w:p>
    <w:p w:rsidR="00230A89" w:rsidRDefault="00230A89" w:rsidP="00230A89">
      <w:pPr>
        <w:rPr>
          <w:rFonts w:ascii="Arial" w:hAnsi="Arial" w:cs="Arial"/>
          <w:sz w:val="28"/>
          <w:szCs w:val="28"/>
          <w:u w:val="single"/>
        </w:rPr>
      </w:pPr>
      <w:r w:rsidRPr="002F4E71">
        <w:rPr>
          <w:rFonts w:ascii="Arial" w:hAnsi="Arial" w:cs="Arial"/>
          <w:i/>
          <w:iCs/>
          <w:sz w:val="28"/>
          <w:szCs w:val="28"/>
          <w:u w:val="single"/>
        </w:rPr>
        <w:t>B. burgdorferi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2F4E71">
        <w:rPr>
          <w:rFonts w:ascii="Arial" w:hAnsi="Arial" w:cs="Arial"/>
          <w:sz w:val="28"/>
          <w:szCs w:val="28"/>
          <w:u w:val="single"/>
        </w:rPr>
        <w:t>(Lyme disease)</w:t>
      </w:r>
      <w:r w:rsidRPr="002F4E71">
        <w:rPr>
          <w:rFonts w:ascii="Arial" w:hAnsi="Arial" w:cs="Arial"/>
          <w:i/>
          <w:iCs/>
          <w:sz w:val="28"/>
          <w:szCs w:val="28"/>
          <w:u w:val="single"/>
        </w:rPr>
        <w:t>, B. miyamotoi, B. microti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F174A1">
        <w:rPr>
          <w:rFonts w:ascii="Arial" w:hAnsi="Arial" w:cs="Arial"/>
          <w:sz w:val="28"/>
          <w:szCs w:val="28"/>
          <w:u w:val="single"/>
        </w:rPr>
        <w:t>(Babesia parasite)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u w:val="single"/>
        </w:rPr>
        <w:t>Anaplasma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(HGA) Ehrlichia </w:t>
      </w:r>
      <w:proofErr w:type="spellStart"/>
      <w:r>
        <w:rPr>
          <w:rFonts w:ascii="Arial" w:hAnsi="Arial" w:cs="Arial"/>
          <w:sz w:val="28"/>
          <w:szCs w:val="28"/>
          <w:u w:val="single"/>
        </w:rPr>
        <w:t>chaffeensis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(HME) and Powassan/Deer Tick Virus (POWV/DTV) Detection in Ticks by PCR</w:t>
      </w:r>
    </w:p>
    <w:p w:rsidR="00230A89" w:rsidRDefault="00230A89" w:rsidP="00230A89">
      <w:pPr>
        <w:rPr>
          <w:rFonts w:ascii="Arial" w:hAnsi="Arial" w:cs="Arial"/>
          <w:sz w:val="20"/>
          <w:szCs w:val="20"/>
        </w:rPr>
      </w:pPr>
      <w:r w:rsidRPr="00F1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DNA and RNA detection by Polymerase Chain Reaction (PCR) in ticks.</w:t>
      </w:r>
    </w:p>
    <w:p w:rsidR="00A3771A" w:rsidRDefault="00A3771A" w:rsidP="00A3771A">
      <w:pPr>
        <w:rPr>
          <w:rFonts w:asciiTheme="minorHAnsi" w:hAnsiTheme="minorHAnsi" w:cstheme="minorBidi"/>
        </w:rPr>
      </w:pPr>
      <w:r>
        <w:t>Specimen Requirements for testing:</w:t>
      </w:r>
    </w:p>
    <w:p w:rsidR="00A3771A" w:rsidRDefault="00A3771A" w:rsidP="00A3771A">
      <w:pPr>
        <w:spacing w:after="0"/>
      </w:pPr>
      <w:r>
        <w:t>Type of Specimen:  Tick (dead or alive)</w:t>
      </w:r>
    </w:p>
    <w:p w:rsidR="00A3771A" w:rsidRDefault="00A3771A" w:rsidP="00A3771A">
      <w:pPr>
        <w:spacing w:after="0"/>
      </w:pPr>
      <w:r>
        <w:t>Storage:                     Ambient</w:t>
      </w:r>
    </w:p>
    <w:p w:rsidR="00A3771A" w:rsidRDefault="00A3771A" w:rsidP="00A3771A">
      <w:pPr>
        <w:spacing w:after="0"/>
      </w:pPr>
      <w:r>
        <w:t>Turnaround Time:   24-48 hours from receipt</w:t>
      </w:r>
    </w:p>
    <w:p w:rsidR="00A3771A" w:rsidRDefault="00A3771A" w:rsidP="00A3771A">
      <w:pPr>
        <w:tabs>
          <w:tab w:val="left" w:pos="1800"/>
        </w:tabs>
        <w:spacing w:after="0"/>
      </w:pPr>
      <w:r>
        <w:t xml:space="preserve">CPT Code:                  87168 (tick ID)  87801 (PCR) </w:t>
      </w:r>
    </w:p>
    <w:p w:rsidR="00485248" w:rsidRPr="00AE35E4" w:rsidRDefault="00485248">
      <w:pPr>
        <w:pStyle w:val="Normal1"/>
        <w:rPr>
          <w:rFonts w:asciiTheme="minorHAnsi" w:hAnsiTheme="minorHAnsi"/>
        </w:rPr>
      </w:pPr>
    </w:p>
    <w:sectPr w:rsidR="00485248" w:rsidRPr="00AE35E4" w:rsidSect="00AE35E4">
      <w:headerReference w:type="default" r:id="rId9"/>
      <w:footerReference w:type="default" r:id="rId10"/>
      <w:pgSz w:w="12240" w:h="15840"/>
      <w:pgMar w:top="502" w:right="1440" w:bottom="1440" w:left="1440" w:header="5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8B" w:rsidRDefault="00F6108B" w:rsidP="00AE35E4">
      <w:pPr>
        <w:spacing w:after="0" w:line="240" w:lineRule="auto"/>
      </w:pPr>
      <w:r>
        <w:separator/>
      </w:r>
    </w:p>
  </w:endnote>
  <w:endnote w:type="continuationSeparator" w:id="0">
    <w:p w:rsidR="00F6108B" w:rsidRDefault="00F6108B" w:rsidP="00AE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thelas Regular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E4" w:rsidRPr="00AE35E4" w:rsidRDefault="00AE35E4" w:rsidP="00AE35E4">
    <w:pPr>
      <w:pStyle w:val="Footer"/>
      <w:tabs>
        <w:tab w:val="clear" w:pos="4320"/>
        <w:tab w:val="clear" w:pos="8640"/>
        <w:tab w:val="left" w:pos="4138"/>
      </w:tabs>
      <w:jc w:val="center"/>
      <w:rPr>
        <w:rFonts w:ascii="Athelas Regular" w:hAnsi="Athelas Regular"/>
        <w:color w:val="808080" w:themeColor="background1" w:themeShade="80"/>
        <w:sz w:val="20"/>
      </w:rPr>
    </w:pPr>
    <w:r w:rsidRPr="00AE35E4">
      <w:rPr>
        <w:rFonts w:ascii="Athelas Regular" w:hAnsi="Athelas Regular"/>
        <w:color w:val="808080" w:themeColor="background1" w:themeShade="80"/>
        <w:sz w:val="28"/>
      </w:rPr>
      <w:t>Visit us at www.ticktests.com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8B" w:rsidRDefault="00F6108B" w:rsidP="00AE35E4">
      <w:pPr>
        <w:spacing w:after="0" w:line="240" w:lineRule="auto"/>
      </w:pPr>
      <w:r>
        <w:separator/>
      </w:r>
    </w:p>
  </w:footnote>
  <w:footnote w:type="continuationSeparator" w:id="0">
    <w:p w:rsidR="00F6108B" w:rsidRDefault="00F6108B" w:rsidP="00AE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E4" w:rsidRPr="00AE35E4" w:rsidRDefault="00AE35E4" w:rsidP="00AE35E4">
    <w:pPr>
      <w:pStyle w:val="Header"/>
      <w:jc w:val="center"/>
      <w:rPr>
        <w:rFonts w:ascii="Engravers MT" w:hAnsi="Engravers MT" w:cs="Big Caslon"/>
        <w:color w:val="008000"/>
        <w:sz w:val="52"/>
      </w:rPr>
    </w:pPr>
    <w:r w:rsidRPr="00AE35E4">
      <w:rPr>
        <w:rFonts w:ascii="Engravers MT" w:hAnsi="Engravers MT" w:cs="Big Caslon"/>
        <w:color w:val="008000"/>
        <w:sz w:val="68"/>
        <w:szCs w:val="68"/>
      </w:rPr>
      <w:t>ECO L</w:t>
    </w:r>
    <w:r w:rsidRPr="00AE35E4">
      <w:rPr>
        <w:rFonts w:ascii="Engravers MT" w:hAnsi="Engravers MT" w:cs="Big Caslon"/>
        <w:color w:val="008000"/>
        <w:sz w:val="52"/>
      </w:rPr>
      <w:t>aboratory</w:t>
    </w:r>
  </w:p>
  <w:p w:rsidR="00AE35E4" w:rsidRPr="00AE35E4" w:rsidRDefault="004312E9" w:rsidP="00AE35E4">
    <w:pPr>
      <w:pStyle w:val="Header"/>
      <w:jc w:val="center"/>
      <w:rPr>
        <w:rFonts w:ascii="Athelas Regular" w:hAnsi="Athelas Regular" w:cs="Big Caslon"/>
        <w:sz w:val="28"/>
      </w:rPr>
    </w:pPr>
    <w:r>
      <w:rPr>
        <w:rFonts w:ascii="Athelas Regular" w:hAnsi="Athelas Regular" w:cs="Big Caslon"/>
        <w:sz w:val="28"/>
      </w:rPr>
      <w:t>One</w:t>
    </w:r>
    <w:r w:rsidR="00AE35E4">
      <w:rPr>
        <w:rFonts w:ascii="Athelas Regular" w:hAnsi="Athelas Regular" w:cs="Big Caslon"/>
        <w:sz w:val="28"/>
      </w:rPr>
      <w:t xml:space="preserve"> Acton Place      </w:t>
    </w:r>
    <w:r w:rsidR="00AE35E4">
      <w:rPr>
        <w:rFonts w:ascii="Wingdings" w:hAnsi="Wingdings" w:cs="Big Caslon"/>
        <w:sz w:val="28"/>
      </w:rPr>
      <w:t></w:t>
    </w:r>
    <w:r w:rsidR="00AE35E4">
      <w:rPr>
        <w:rFonts w:ascii="Wingdings" w:hAnsi="Wingdings" w:cs="Big Caslon"/>
        <w:sz w:val="28"/>
      </w:rPr>
      <w:t></w:t>
    </w:r>
    <w:r w:rsidR="00AE35E4" w:rsidRPr="00AE35E4">
      <w:rPr>
        <w:rFonts w:ascii="Athelas Regular" w:hAnsi="Athelas Regular" w:cs="Big Caslon"/>
        <w:sz w:val="28"/>
      </w:rPr>
      <w:t>Suite 102</w:t>
    </w:r>
    <w:r w:rsidR="00AE35E4">
      <w:rPr>
        <w:rFonts w:ascii="Athelas Regular" w:hAnsi="Athelas Regular" w:cs="Big Caslon"/>
        <w:sz w:val="28"/>
      </w:rPr>
      <w:t xml:space="preserve">      </w:t>
    </w:r>
    <w:r w:rsidR="00AE35E4">
      <w:rPr>
        <w:rFonts w:ascii="Wingdings" w:hAnsi="Wingdings" w:cs="Big Caslon"/>
        <w:sz w:val="28"/>
      </w:rPr>
      <w:t></w:t>
    </w:r>
    <w:r w:rsidR="00AE35E4">
      <w:rPr>
        <w:rFonts w:ascii="Wingdings" w:hAnsi="Wingdings" w:cs="Big Caslon"/>
        <w:sz w:val="28"/>
      </w:rPr>
      <w:t></w:t>
    </w:r>
    <w:r w:rsidR="00AE35E4" w:rsidRPr="00AE35E4">
      <w:rPr>
        <w:rFonts w:ascii="Athelas Regular" w:hAnsi="Athelas Regular" w:cs="Big Caslon"/>
        <w:sz w:val="28"/>
      </w:rPr>
      <w:t>Acton, Massachusetts</w:t>
    </w:r>
    <w:r w:rsidR="00AE35E4">
      <w:rPr>
        <w:rFonts w:ascii="Athelas Regular" w:hAnsi="Athelas Regular" w:cs="Big Caslon"/>
        <w:sz w:val="28"/>
      </w:rPr>
      <w:t xml:space="preserve">      </w:t>
    </w:r>
    <w:r w:rsidR="00AE35E4">
      <w:rPr>
        <w:rFonts w:ascii="Wingdings" w:hAnsi="Wingdings" w:cs="Big Caslon"/>
        <w:sz w:val="28"/>
      </w:rPr>
      <w:t></w:t>
    </w:r>
    <w:r w:rsidR="00AE35E4">
      <w:rPr>
        <w:rFonts w:ascii="Wingdings" w:hAnsi="Wingdings" w:cs="Big Caslon"/>
        <w:sz w:val="28"/>
      </w:rPr>
      <w:t></w:t>
    </w:r>
    <w:r w:rsidR="00AE35E4" w:rsidRPr="00AE35E4">
      <w:rPr>
        <w:rFonts w:ascii="Athelas Regular" w:hAnsi="Athelas Regular" w:cs="Big Caslon"/>
        <w:sz w:val="28"/>
      </w:rPr>
      <w:t>01720</w:t>
    </w:r>
  </w:p>
  <w:p w:rsidR="00AE35E4" w:rsidRPr="00AE35E4" w:rsidRDefault="00AE35E4" w:rsidP="00AE35E4">
    <w:pPr>
      <w:pStyle w:val="Header"/>
      <w:jc w:val="center"/>
      <w:rPr>
        <w:rFonts w:ascii="Athelas Regular" w:hAnsi="Athelas Regular" w:cs="Big Caslon"/>
        <w:sz w:val="28"/>
        <w:szCs w:val="28"/>
      </w:rPr>
    </w:pPr>
    <w:r w:rsidRPr="00AE35E4">
      <w:rPr>
        <w:rFonts w:ascii="Athelas Regular" w:hAnsi="Athelas Regular" w:cs="Big Caslon"/>
        <w:sz w:val="28"/>
        <w:szCs w:val="28"/>
      </w:rPr>
      <w:t>(</w:t>
    </w:r>
    <w:hyperlink r:id="rId1" w:history="1">
      <w:r w:rsidRPr="00AE35E4">
        <w:rPr>
          <w:rStyle w:val="Hyperlink"/>
          <w:rFonts w:ascii="Athelas Regular" w:hAnsi="Athelas Regular" w:cs="Big Caslon"/>
          <w:color w:val="auto"/>
          <w:sz w:val="28"/>
          <w:szCs w:val="28"/>
          <w:u w:val="none"/>
        </w:rPr>
        <w:t>978) 274-2943</w:t>
      </w:r>
    </w:hyperlink>
    <w:r w:rsidRPr="00AE35E4">
      <w:rPr>
        <w:rFonts w:ascii="Athelas Regular" w:hAnsi="Athelas Regular" w:cs="Big Caslon"/>
        <w:sz w:val="28"/>
        <w:szCs w:val="28"/>
      </w:rPr>
      <w:t xml:space="preserve"> </w:t>
    </w:r>
    <w:r>
      <w:rPr>
        <w:rFonts w:ascii="Athelas Regular" w:hAnsi="Athelas Regular" w:cs="Big Caslon"/>
        <w:sz w:val="28"/>
        <w:szCs w:val="28"/>
      </w:rPr>
      <w:t xml:space="preserve">     </w:t>
    </w:r>
    <w:r>
      <w:rPr>
        <w:rFonts w:ascii="Wingdings" w:hAnsi="Wingdings" w:cs="Big Caslon"/>
        <w:sz w:val="28"/>
        <w:szCs w:val="28"/>
      </w:rPr>
      <w:t></w:t>
    </w:r>
    <w:r>
      <w:rPr>
        <w:rFonts w:ascii="Wingdings" w:hAnsi="Wingdings" w:cs="Big Caslon"/>
        <w:sz w:val="28"/>
        <w:szCs w:val="28"/>
      </w:rPr>
      <w:t></w:t>
    </w:r>
    <w:r w:rsidRPr="00AE35E4">
      <w:rPr>
        <w:rFonts w:ascii="Athelas Regular" w:hAnsi="Athelas Regular" w:cs="Big Caslon"/>
        <w:sz w:val="28"/>
        <w:szCs w:val="28"/>
      </w:rPr>
      <w:t>www.ticktests.com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.4pt;height:900.4pt;visibility:visible;mso-wrap-style:square" o:bullet="t">
        <v:imagedata r:id="rId1" o:title=""/>
      </v:shape>
    </w:pict>
  </w:numPicBullet>
  <w:abstractNum w:abstractNumId="0">
    <w:nsid w:val="3779652B"/>
    <w:multiLevelType w:val="hybridMultilevel"/>
    <w:tmpl w:val="F7D08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F13064"/>
    <w:multiLevelType w:val="hybridMultilevel"/>
    <w:tmpl w:val="462E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5248"/>
    <w:rsid w:val="00072631"/>
    <w:rsid w:val="00230A89"/>
    <w:rsid w:val="004312E9"/>
    <w:rsid w:val="00485248"/>
    <w:rsid w:val="00612FEA"/>
    <w:rsid w:val="006931F9"/>
    <w:rsid w:val="00851F36"/>
    <w:rsid w:val="00A3771A"/>
    <w:rsid w:val="00AE35E4"/>
    <w:rsid w:val="00B81279"/>
    <w:rsid w:val="00CC425B"/>
    <w:rsid w:val="00F6108B"/>
    <w:rsid w:val="00F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822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E3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E4"/>
  </w:style>
  <w:style w:type="paragraph" w:styleId="Footer">
    <w:name w:val="footer"/>
    <w:basedOn w:val="Normal"/>
    <w:link w:val="FooterChar"/>
    <w:uiPriority w:val="99"/>
    <w:unhideWhenUsed/>
    <w:rsid w:val="00AE3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E4"/>
  </w:style>
  <w:style w:type="character" w:styleId="Hyperlink">
    <w:name w:val="Hyperlink"/>
    <w:basedOn w:val="DefaultParagraphFont"/>
    <w:uiPriority w:val="99"/>
    <w:unhideWhenUsed/>
    <w:rsid w:val="00AE3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7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E3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E4"/>
  </w:style>
  <w:style w:type="paragraph" w:styleId="Footer">
    <w:name w:val="footer"/>
    <w:basedOn w:val="Normal"/>
    <w:link w:val="FooterChar"/>
    <w:uiPriority w:val="99"/>
    <w:unhideWhenUsed/>
    <w:rsid w:val="00AE3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E4"/>
  </w:style>
  <w:style w:type="character" w:styleId="Hyperlink">
    <w:name w:val="Hyperlink"/>
    <w:basedOn w:val="DefaultParagraphFont"/>
    <w:uiPriority w:val="99"/>
    <w:unhideWhenUsed/>
    <w:rsid w:val="00AE3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7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978274294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B1303-946A-8B44-8370-4F24EFF9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Jon Weeks</cp:lastModifiedBy>
  <cp:revision>2</cp:revision>
  <cp:lastPrinted>2019-12-02T15:25:00Z</cp:lastPrinted>
  <dcterms:created xsi:type="dcterms:W3CDTF">2020-01-16T15:14:00Z</dcterms:created>
  <dcterms:modified xsi:type="dcterms:W3CDTF">2020-01-16T15:14:00Z</dcterms:modified>
</cp:coreProperties>
</file>