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Ejemplos de Transiciones  -Movimiento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Donde está _______ Donde está 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Aquí está, Aquí está-----(señalando en niño)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 una vuelta, Date una vuelta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 ve a (sentarte, a la mesa, a lavarte las manitas)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Está puede ser usada para culaquier cambio de actividad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Quién tiene ropa ______ ( de cualquier color)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Usar con niños qué reconocen los colores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Letras del abecedario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-Señalando las letras del abecedario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Mandar  a los niños a la siguiente actividad con cada letra de su nombre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Usar con niños qué saben por lo menos la letra de su nombre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 limpiar a limpiar a limpiar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Vamos todos a limpiar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Sin quebrar sin romper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Qué después hay qué volver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Recogiendo Recogiendo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Vamos ya , Vamos ya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Todo el su sitio, todo el su sitio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Debe estar, Debe estar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Leer un libro o tener libros accesible para los niños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Usar está transición en ocaciones qué los niños están esperando su turno para  lavarse los dientes.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No Movimiento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Mientras esperan la comida qué esté lista leer libros . No dejarle qué lean porque ya tienen las manos limpias (qué not sea muy largo e libro )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Hablar de colores de los platos . De la comida . Cuántos niños hay 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Sensoriales . Comida dulce .amarga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