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Sliding Fee Discount Program (SFDP) Policy</w:t>
      </w:r>
    </w:p>
    <w:p>
      <w:pPr>
        <w:pStyle w:val="Heading2"/>
        <w:bidi w:val="0"/>
        <w:jc w:val="left"/>
        <w:rPr/>
      </w:pPr>
      <w:r>
        <w:rPr/>
        <w:t>1. Purpose</w:t>
      </w:r>
    </w:p>
    <w:p>
      <w:pPr>
        <w:pStyle w:val="TextBody"/>
        <w:bidi w:val="0"/>
        <w:spacing w:lineRule="auto" w:line="276" w:before="0" w:after="140"/>
        <w:jc w:val="left"/>
        <w:rPr/>
      </w:pPr>
      <w:r>
        <w:rPr/>
        <w:t>Total Wellness Center (TWC) is committed to providing access to quality behavioral health services for all patients, regardless of ability to pay. The Sliding Fee Discount Program (SFDP) is designed to reduce financial barriers to care for eligible patients based on income and family size in accordance with current Federal Poverty Guidelines and applicable federal regulations. TWC will not deny services based on an individual’s inability to pay.</w:t>
      </w:r>
    </w:p>
    <w:p>
      <w:pPr>
        <w:pStyle w:val="Heading2"/>
        <w:bidi w:val="0"/>
        <w:jc w:val="left"/>
        <w:rPr/>
      </w:pPr>
      <w:r>
        <w:rPr/>
        <w:t>2. Request for Discount</w:t>
      </w:r>
    </w:p>
    <w:p>
      <w:pPr>
        <w:pStyle w:val="TextBody"/>
        <w:bidi w:val="0"/>
        <w:spacing w:lineRule="auto" w:line="276" w:before="0" w:after="140"/>
        <w:jc w:val="left"/>
        <w:rPr/>
      </w:pPr>
      <w:r>
        <w:rPr/>
        <w:t>Requests for discounted services may be initiated by patients, family members, social services staff, or other individuals aware of a patient’s financial hardship. The SFDP applies to eligible clinic services, including behavioral health services provided onsite or through telehealth services.</w:t>
      </w:r>
    </w:p>
    <w:p>
      <w:pPr>
        <w:pStyle w:val="TextBody"/>
        <w:bidi w:val="0"/>
        <w:spacing w:lineRule="auto" w:line="276" w:before="0" w:after="140"/>
        <w:jc w:val="left"/>
        <w:rPr/>
      </w:pPr>
      <w:r>
        <w:rPr/>
        <w:t>Information regarding the SFDP and applications are available at the front desk and through the business office. Staff assistance will be provided as needed to ensure patient understanding and accessibility.</w:t>
      </w:r>
    </w:p>
    <w:p>
      <w:pPr>
        <w:pStyle w:val="Heading2"/>
        <w:bidi w:val="0"/>
        <w:jc w:val="left"/>
        <w:rPr/>
      </w:pPr>
      <w:r>
        <w:rPr/>
        <w:t>3. Administration</w:t>
      </w:r>
    </w:p>
    <w:p>
      <w:pPr>
        <w:pStyle w:val="TextBody"/>
        <w:bidi w:val="0"/>
        <w:spacing w:lineRule="auto" w:line="276" w:before="0" w:after="140"/>
        <w:jc w:val="left"/>
        <w:rPr/>
      </w:pPr>
      <w:r>
        <w:rPr/>
        <w:t>The SFDP is administered by the Business Office Manager or designee. TWC will provide clear information regarding eligibility requirements and maintain patient dignity and confidentiality throughout the application and approval process.</w:t>
      </w:r>
    </w:p>
    <w:p>
      <w:pPr>
        <w:pStyle w:val="TextBody"/>
        <w:bidi w:val="0"/>
        <w:spacing w:lineRule="auto" w:line="276" w:before="0" w:after="140"/>
        <w:jc w:val="left"/>
        <w:rPr/>
      </w:pPr>
      <w:r>
        <w:rPr/>
        <w:t>Staff members responsible for administering the SFDP will receive training regarding policy implementation, patient communication, confidentiality, and documentation requirements.</w:t>
      </w:r>
    </w:p>
    <w:p>
      <w:pPr>
        <w:pStyle w:val="Heading2"/>
        <w:bidi w:val="0"/>
        <w:jc w:val="left"/>
        <w:rPr/>
      </w:pPr>
      <w:r>
        <w:rPr/>
        <w:t>4. Completion of Application</w:t>
      </w:r>
    </w:p>
    <w:p>
      <w:pPr>
        <w:pStyle w:val="TextBody"/>
        <w:bidi w:val="0"/>
        <w:spacing w:lineRule="auto" w:line="276" w:before="0" w:after="140"/>
        <w:jc w:val="left"/>
        <w:rPr/>
      </w:pPr>
      <w:r>
        <w:rPr/>
        <w:t>Patients or responsible parties must complete the SFDP application in full. By signing the application, the applicant attests that all information provided is accurate and complete.</w:t>
      </w:r>
    </w:p>
    <w:p>
      <w:pPr>
        <w:pStyle w:val="TextBody"/>
        <w:bidi w:val="0"/>
        <w:spacing w:lineRule="auto" w:line="276" w:before="0" w:after="140"/>
        <w:jc w:val="left"/>
        <w:rPr/>
      </w:pPr>
      <w:r>
        <w:rPr/>
        <w:t>TWC staff will assist patients with completing applications when needed. Patients may be required to provide supporting documentation to verify income and household size.</w:t>
      </w:r>
    </w:p>
    <w:p>
      <w:pPr>
        <w:pStyle w:val="TextBody"/>
        <w:bidi w:val="0"/>
        <w:spacing w:lineRule="auto" w:line="276" w:before="0" w:after="140"/>
        <w:jc w:val="left"/>
        <w:rPr/>
      </w:pPr>
      <w:r>
        <w:rPr/>
        <w:t>Examples of acceptable documentation include:</w:t>
      </w:r>
    </w:p>
    <w:p>
      <w:pPr>
        <w:pStyle w:val="TextBody"/>
        <w:numPr>
          <w:ilvl w:val="0"/>
          <w:numId w:val="1"/>
        </w:numPr>
        <w:tabs>
          <w:tab w:val="clear" w:pos="709"/>
          <w:tab w:val="left" w:pos="709" w:leader="none"/>
        </w:tabs>
        <w:bidi w:val="0"/>
        <w:ind w:left="709" w:hanging="283"/>
        <w:jc w:val="left"/>
        <w:rPr/>
      </w:pPr>
      <w:r>
        <w:rPr/>
        <w:t>Pay stubs</w:t>
      </w:r>
    </w:p>
    <w:p>
      <w:pPr>
        <w:pStyle w:val="TextBody"/>
        <w:numPr>
          <w:ilvl w:val="0"/>
          <w:numId w:val="1"/>
        </w:numPr>
        <w:tabs>
          <w:tab w:val="clear" w:pos="709"/>
          <w:tab w:val="left" w:pos="709" w:leader="none"/>
        </w:tabs>
        <w:bidi w:val="0"/>
        <w:ind w:left="709" w:hanging="283"/>
        <w:jc w:val="left"/>
        <w:rPr/>
      </w:pPr>
      <w:r>
        <w:rPr/>
        <w:t>Federal tax returns</w:t>
      </w:r>
    </w:p>
    <w:p>
      <w:pPr>
        <w:pStyle w:val="TextBody"/>
        <w:numPr>
          <w:ilvl w:val="0"/>
          <w:numId w:val="1"/>
        </w:numPr>
        <w:tabs>
          <w:tab w:val="clear" w:pos="709"/>
          <w:tab w:val="left" w:pos="709" w:leader="none"/>
        </w:tabs>
        <w:bidi w:val="0"/>
        <w:ind w:left="709" w:hanging="283"/>
        <w:jc w:val="left"/>
        <w:rPr/>
      </w:pPr>
      <w:r>
        <w:rPr/>
        <w:t>Social Security or disability statements</w:t>
      </w:r>
    </w:p>
    <w:p>
      <w:pPr>
        <w:pStyle w:val="TextBody"/>
        <w:numPr>
          <w:ilvl w:val="0"/>
          <w:numId w:val="1"/>
        </w:numPr>
        <w:tabs>
          <w:tab w:val="clear" w:pos="709"/>
          <w:tab w:val="left" w:pos="709" w:leader="none"/>
        </w:tabs>
        <w:bidi w:val="0"/>
        <w:ind w:left="709" w:hanging="283"/>
        <w:jc w:val="left"/>
        <w:rPr/>
      </w:pPr>
      <w:r>
        <w:rPr/>
        <w:t xml:space="preserve">Unemployment documentation   </w:t>
      </w:r>
    </w:p>
    <w:p>
      <w:pPr>
        <w:pStyle w:val="TextBody"/>
        <w:numPr>
          <w:ilvl w:val="0"/>
          <w:numId w:val="1"/>
        </w:numPr>
        <w:tabs>
          <w:tab w:val="clear" w:pos="709"/>
          <w:tab w:val="left" w:pos="709" w:leader="none"/>
        </w:tabs>
        <w:bidi w:val="0"/>
        <w:ind w:left="709" w:hanging="283"/>
        <w:jc w:val="left"/>
        <w:rPr/>
      </w:pPr>
      <w:r>
        <w:rPr/>
        <w:t>Employer verification</w:t>
      </w:r>
    </w:p>
    <w:p>
      <w:pPr>
        <w:pStyle w:val="TextBody"/>
        <w:numPr>
          <w:ilvl w:val="0"/>
          <w:numId w:val="1"/>
        </w:numPr>
        <w:tabs>
          <w:tab w:val="clear" w:pos="709"/>
          <w:tab w:val="left" w:pos="709" w:leader="none"/>
        </w:tabs>
        <w:bidi w:val="0"/>
        <w:ind w:left="709" w:hanging="283"/>
        <w:jc w:val="left"/>
        <w:rPr/>
      </w:pPr>
      <w:r>
        <w:rPr/>
        <w:t>Other reasonable proof of income</w:t>
      </w:r>
    </w:p>
    <w:p>
      <w:pPr>
        <w:pStyle w:val="TextBody"/>
        <w:bidi w:val="0"/>
        <w:jc w:val="left"/>
        <w:rPr/>
      </w:pPr>
      <w:r>
        <w:rPr/>
        <w:t>If a patient has no income or is unable to provide documentation, self-attestation may be accepted at the discretion of TWC administration and documented appropriately in the patient record.</w:t>
      </w:r>
    </w:p>
    <w:p>
      <w:pPr>
        <w:pStyle w:val="Heading2"/>
        <w:bidi w:val="0"/>
        <w:jc w:val="left"/>
        <w:rPr/>
      </w:pPr>
      <w:r>
        <w:rPr/>
        <w:t>5. Eligibility Determination</w:t>
      </w:r>
    </w:p>
    <w:p>
      <w:pPr>
        <w:pStyle w:val="TextBody"/>
        <w:bidi w:val="0"/>
        <w:spacing w:lineRule="auto" w:line="276" w:before="0" w:after="140"/>
        <w:jc w:val="left"/>
        <w:rPr/>
      </w:pPr>
      <w:r>
        <w:rPr/>
        <w:t>Eligibility for the SFDP is based solely on household income and family size according to the most current Federal Poverty Guidelines.</w:t>
      </w:r>
    </w:p>
    <w:p>
      <w:pPr>
        <w:pStyle w:val="TextBody"/>
        <w:bidi w:val="0"/>
        <w:spacing w:lineRule="auto" w:line="276" w:before="0" w:after="140"/>
        <w:jc w:val="left"/>
        <w:rPr/>
      </w:pPr>
      <w:r>
        <w:rPr/>
        <w:t>TWC does not require patients to apply for Medicaid or undergo asset testing to qualify for the SFDP.</w:t>
      </w:r>
    </w:p>
    <w:p>
      <w:pPr>
        <w:pStyle w:val="Heading3"/>
        <w:bidi w:val="0"/>
        <w:jc w:val="left"/>
        <w:rPr/>
      </w:pPr>
      <w:r>
        <w:rPr/>
        <w:t>5A. Definition of Family Size</w:t>
      </w:r>
    </w:p>
    <w:p>
      <w:pPr>
        <w:pStyle w:val="TextBody"/>
        <w:bidi w:val="0"/>
        <w:spacing w:lineRule="auto" w:line="276" w:before="0" w:after="140"/>
        <w:jc w:val="left"/>
        <w:rPr/>
      </w:pPr>
      <w:r>
        <w:rPr/>
        <w:t>For purposes of determining eligibility under the SFDP, “family size” shall include the patient and all individuals living in the household who are related by birth, marriage, or adoption and are financially dependent upon the household income.</w:t>
      </w:r>
    </w:p>
    <w:p>
      <w:pPr>
        <w:pStyle w:val="TextBody"/>
        <w:bidi w:val="0"/>
        <w:spacing w:lineRule="auto" w:line="276" w:before="0" w:after="140"/>
        <w:jc w:val="left"/>
        <w:rPr/>
      </w:pPr>
      <w:r>
        <w:rPr/>
        <w:t>For adult patients, family size includes the individual, spouse, and dependent children.For minor patients, family size includes the child, parent(s), legal guardian(s), and other dependents supported by the household income. TWC may also consider non-related household members if financial resources are shared within the household.</w:t>
      </w:r>
    </w:p>
    <w:p>
      <w:pPr>
        <w:pStyle w:val="Heading3"/>
        <w:bidi w:val="0"/>
        <w:jc w:val="left"/>
        <w:rPr/>
      </w:pPr>
      <w:r>
        <w:rPr/>
        <w:t>5B. Definition of Income</w:t>
      </w:r>
    </w:p>
    <w:p>
      <w:pPr>
        <w:pStyle w:val="TextBody"/>
        <w:bidi w:val="0"/>
        <w:spacing w:lineRule="auto" w:line="276" w:before="0" w:after="140"/>
        <w:jc w:val="left"/>
        <w:rPr/>
      </w:pPr>
      <w:r>
        <w:rPr/>
        <w:t>Income is defined as total annual gross household income before taxes and deductions from all sources.</w:t>
      </w:r>
    </w:p>
    <w:p>
      <w:pPr>
        <w:pStyle w:val="TextBody"/>
        <w:bidi w:val="0"/>
        <w:spacing w:lineRule="auto" w:line="276" w:before="0" w:after="140"/>
        <w:jc w:val="left"/>
        <w:rPr/>
      </w:pPr>
      <w:r>
        <w:rPr/>
        <w:t>Examples of countable income include, but are not limited to:</w:t>
      </w:r>
    </w:p>
    <w:p>
      <w:pPr>
        <w:pStyle w:val="TextBody"/>
        <w:numPr>
          <w:ilvl w:val="0"/>
          <w:numId w:val="2"/>
        </w:numPr>
        <w:tabs>
          <w:tab w:val="clear" w:pos="709"/>
          <w:tab w:val="left" w:pos="709" w:leader="none"/>
        </w:tabs>
        <w:bidi w:val="0"/>
        <w:ind w:left="709" w:hanging="283"/>
        <w:jc w:val="left"/>
        <w:rPr/>
      </w:pPr>
      <w:r>
        <w:rPr/>
        <w:t>Wages and salaries</w:t>
      </w:r>
    </w:p>
    <w:p>
      <w:pPr>
        <w:pStyle w:val="TextBody"/>
        <w:numPr>
          <w:ilvl w:val="0"/>
          <w:numId w:val="2"/>
        </w:numPr>
        <w:tabs>
          <w:tab w:val="clear" w:pos="709"/>
          <w:tab w:val="left" w:pos="709" w:leader="none"/>
        </w:tabs>
        <w:bidi w:val="0"/>
        <w:ind w:left="709" w:hanging="283"/>
        <w:jc w:val="left"/>
        <w:rPr/>
      </w:pPr>
      <w:r>
        <w:rPr/>
        <w:t>Self-employment income</w:t>
      </w:r>
    </w:p>
    <w:p>
      <w:pPr>
        <w:pStyle w:val="TextBody"/>
        <w:numPr>
          <w:ilvl w:val="0"/>
          <w:numId w:val="2"/>
        </w:numPr>
        <w:tabs>
          <w:tab w:val="clear" w:pos="709"/>
          <w:tab w:val="left" w:pos="709" w:leader="none"/>
        </w:tabs>
        <w:bidi w:val="0"/>
        <w:ind w:left="709" w:hanging="283"/>
        <w:jc w:val="left"/>
        <w:rPr/>
      </w:pPr>
      <w:r>
        <w:rPr/>
        <w:t>Unemployment compensation</w:t>
      </w:r>
    </w:p>
    <w:p>
      <w:pPr>
        <w:pStyle w:val="TextBody"/>
        <w:numPr>
          <w:ilvl w:val="0"/>
          <w:numId w:val="2"/>
        </w:numPr>
        <w:tabs>
          <w:tab w:val="clear" w:pos="709"/>
          <w:tab w:val="left" w:pos="709" w:leader="none"/>
        </w:tabs>
        <w:bidi w:val="0"/>
        <w:ind w:left="709" w:hanging="283"/>
        <w:jc w:val="left"/>
        <w:rPr/>
      </w:pPr>
      <w:r>
        <w:rPr/>
        <w:t>Social Security benefits</w:t>
      </w:r>
    </w:p>
    <w:p>
      <w:pPr>
        <w:pStyle w:val="TextBody"/>
        <w:numPr>
          <w:ilvl w:val="0"/>
          <w:numId w:val="2"/>
        </w:numPr>
        <w:tabs>
          <w:tab w:val="clear" w:pos="709"/>
          <w:tab w:val="left" w:pos="709" w:leader="none"/>
        </w:tabs>
        <w:bidi w:val="0"/>
        <w:ind w:left="709" w:hanging="283"/>
        <w:jc w:val="left"/>
        <w:rPr/>
      </w:pPr>
      <w:r>
        <w:rPr/>
        <w:t>Disability income</w:t>
      </w:r>
    </w:p>
    <w:p>
      <w:pPr>
        <w:pStyle w:val="TextBody"/>
        <w:numPr>
          <w:ilvl w:val="0"/>
          <w:numId w:val="2"/>
        </w:numPr>
        <w:tabs>
          <w:tab w:val="clear" w:pos="709"/>
          <w:tab w:val="left" w:pos="709" w:leader="none"/>
        </w:tabs>
        <w:bidi w:val="0"/>
        <w:ind w:left="709" w:hanging="283"/>
        <w:jc w:val="left"/>
        <w:rPr/>
      </w:pPr>
      <w:r>
        <w:rPr/>
        <w:t>Retirement or pension income</w:t>
      </w:r>
    </w:p>
    <w:p>
      <w:pPr>
        <w:pStyle w:val="TextBody"/>
        <w:numPr>
          <w:ilvl w:val="0"/>
          <w:numId w:val="2"/>
        </w:numPr>
        <w:tabs>
          <w:tab w:val="clear" w:pos="709"/>
          <w:tab w:val="left" w:pos="709" w:leader="none"/>
        </w:tabs>
        <w:bidi w:val="0"/>
        <w:ind w:left="709" w:hanging="283"/>
        <w:jc w:val="left"/>
        <w:rPr/>
      </w:pPr>
      <w:r>
        <w:rPr/>
        <w:t>Child support or alimony</w:t>
      </w:r>
    </w:p>
    <w:p>
      <w:pPr>
        <w:pStyle w:val="TextBody"/>
        <w:numPr>
          <w:ilvl w:val="0"/>
          <w:numId w:val="2"/>
        </w:numPr>
        <w:tabs>
          <w:tab w:val="clear" w:pos="709"/>
          <w:tab w:val="left" w:pos="709" w:leader="none"/>
        </w:tabs>
        <w:bidi w:val="0"/>
        <w:ind w:left="709" w:hanging="283"/>
        <w:jc w:val="left"/>
        <w:rPr/>
      </w:pPr>
      <w:r>
        <w:rPr/>
        <w:t>Veterans benefits</w:t>
      </w:r>
    </w:p>
    <w:p>
      <w:pPr>
        <w:pStyle w:val="TextBody"/>
        <w:numPr>
          <w:ilvl w:val="0"/>
          <w:numId w:val="2"/>
        </w:numPr>
        <w:tabs>
          <w:tab w:val="clear" w:pos="709"/>
          <w:tab w:val="left" w:pos="709" w:leader="none"/>
        </w:tabs>
        <w:bidi w:val="0"/>
        <w:ind w:left="709" w:hanging="283"/>
        <w:jc w:val="left"/>
        <w:rPr/>
      </w:pPr>
      <w:r>
        <w:rPr/>
        <w:t>Public assistance</w:t>
      </w:r>
    </w:p>
    <w:p>
      <w:pPr>
        <w:pStyle w:val="TextBody"/>
        <w:numPr>
          <w:ilvl w:val="0"/>
          <w:numId w:val="2"/>
        </w:numPr>
        <w:tabs>
          <w:tab w:val="clear" w:pos="709"/>
          <w:tab w:val="left" w:pos="709" w:leader="none"/>
        </w:tabs>
        <w:bidi w:val="0"/>
        <w:ind w:left="709" w:hanging="283"/>
        <w:jc w:val="left"/>
        <w:rPr/>
      </w:pPr>
      <w:r>
        <w:rPr/>
        <w:t>Rental income</w:t>
      </w:r>
    </w:p>
    <w:p>
      <w:pPr>
        <w:pStyle w:val="TextBody"/>
        <w:numPr>
          <w:ilvl w:val="0"/>
          <w:numId w:val="2"/>
        </w:numPr>
        <w:tabs>
          <w:tab w:val="clear" w:pos="709"/>
          <w:tab w:val="left" w:pos="709" w:leader="none"/>
        </w:tabs>
        <w:bidi w:val="0"/>
        <w:ind w:left="709" w:hanging="283"/>
        <w:jc w:val="left"/>
        <w:rPr/>
      </w:pPr>
      <w:r>
        <w:rPr/>
        <w:t>Financial support from family or others</w:t>
      </w:r>
    </w:p>
    <w:p>
      <w:pPr>
        <w:pStyle w:val="Heading3"/>
        <w:bidi w:val="0"/>
        <w:jc w:val="left"/>
        <w:rPr/>
      </w:pPr>
      <w:r>
        <w:rPr/>
        <w:t>5C. Frequency of Eligibility Determination and Re-Evaluation</w:t>
      </w:r>
    </w:p>
    <w:p>
      <w:pPr>
        <w:pStyle w:val="TextBody"/>
        <w:bidi w:val="0"/>
        <w:spacing w:lineRule="auto" w:line="276" w:before="0" w:after="140"/>
        <w:jc w:val="left"/>
        <w:rPr/>
      </w:pPr>
      <w:r>
        <w:rPr/>
        <w:t>Eligibility for the SFDP shall be determined at the time of application and remain effective for up to twelve (12) months from the approval date.</w:t>
      </w:r>
    </w:p>
    <w:p>
      <w:pPr>
        <w:pStyle w:val="TextBody"/>
        <w:bidi w:val="0"/>
        <w:spacing w:lineRule="auto" w:line="276" w:before="0" w:after="140"/>
        <w:jc w:val="left"/>
        <w:rPr/>
      </w:pPr>
      <w:r>
        <w:rPr/>
        <w:t>Patients must reapply annually or sooner if there is a significant change in:</w:t>
      </w:r>
    </w:p>
    <w:p>
      <w:pPr>
        <w:pStyle w:val="TextBody"/>
        <w:numPr>
          <w:ilvl w:val="0"/>
          <w:numId w:val="3"/>
        </w:numPr>
        <w:tabs>
          <w:tab w:val="clear" w:pos="709"/>
          <w:tab w:val="left" w:pos="709" w:leader="none"/>
        </w:tabs>
        <w:bidi w:val="0"/>
        <w:ind w:left="709" w:hanging="283"/>
        <w:jc w:val="left"/>
        <w:rPr/>
      </w:pPr>
      <w:r>
        <w:rPr/>
        <w:t>Household income</w:t>
      </w:r>
    </w:p>
    <w:p>
      <w:pPr>
        <w:pStyle w:val="TextBody"/>
        <w:numPr>
          <w:ilvl w:val="0"/>
          <w:numId w:val="3"/>
        </w:numPr>
        <w:tabs>
          <w:tab w:val="clear" w:pos="709"/>
          <w:tab w:val="left" w:pos="709" w:leader="none"/>
        </w:tabs>
        <w:bidi w:val="0"/>
        <w:ind w:left="709" w:hanging="283"/>
        <w:jc w:val="left"/>
        <w:rPr/>
      </w:pPr>
      <w:r>
        <w:rPr/>
        <w:t>Family size</w:t>
      </w:r>
    </w:p>
    <w:p>
      <w:pPr>
        <w:pStyle w:val="TextBody"/>
        <w:numPr>
          <w:ilvl w:val="0"/>
          <w:numId w:val="3"/>
        </w:numPr>
        <w:tabs>
          <w:tab w:val="clear" w:pos="709"/>
          <w:tab w:val="left" w:pos="709" w:leader="none"/>
        </w:tabs>
        <w:bidi w:val="0"/>
        <w:ind w:left="709" w:hanging="283"/>
        <w:jc w:val="left"/>
        <w:rPr/>
      </w:pPr>
      <w:r>
        <w:rPr/>
        <w:t>Insurance status</w:t>
      </w:r>
    </w:p>
    <w:p>
      <w:pPr>
        <w:pStyle w:val="TextBody"/>
        <w:numPr>
          <w:ilvl w:val="0"/>
          <w:numId w:val="3"/>
        </w:numPr>
        <w:tabs>
          <w:tab w:val="clear" w:pos="709"/>
          <w:tab w:val="left" w:pos="709" w:leader="none"/>
        </w:tabs>
        <w:bidi w:val="0"/>
        <w:ind w:left="709" w:hanging="283"/>
        <w:jc w:val="left"/>
        <w:rPr/>
      </w:pPr>
      <w:r>
        <w:rPr/>
        <w:t>Financial circumstances</w:t>
      </w:r>
    </w:p>
    <w:p>
      <w:pPr>
        <w:pStyle w:val="TextBody"/>
        <w:bidi w:val="0"/>
        <w:jc w:val="left"/>
        <w:rPr/>
      </w:pPr>
      <w:r>
        <w:rPr/>
        <w:t>TWC reserves the right to request updated documentation if previously submitted information appears inaccurate, incomplete, or outdated.</w:t>
      </w:r>
    </w:p>
    <w:p>
      <w:pPr>
        <w:pStyle w:val="TextBody"/>
        <w:bidi w:val="0"/>
        <w:spacing w:lineRule="auto" w:line="276" w:before="0" w:after="140"/>
        <w:jc w:val="left"/>
        <w:rPr/>
      </w:pPr>
      <w:r>
        <w:rPr/>
        <w:t>Patients may request reconsideration of eligibility at any time due to financial hardship or changes in circumstances.</w:t>
      </w:r>
    </w:p>
    <w:p>
      <w:pPr>
        <w:pStyle w:val="Heading2"/>
        <w:bidi w:val="0"/>
        <w:jc w:val="left"/>
        <w:rPr/>
      </w:pPr>
      <w:r>
        <w:rPr/>
        <w:t>6. Sliding Fee Schedule</w:t>
      </w:r>
    </w:p>
    <w:p>
      <w:pPr>
        <w:pStyle w:val="TextBody"/>
        <w:bidi w:val="0"/>
        <w:spacing w:lineRule="auto" w:line="276" w:before="0" w:after="140"/>
        <w:jc w:val="left"/>
        <w:rPr/>
      </w:pPr>
      <w:r>
        <w:rPr/>
        <w:t>Eligible patients will receive discounts based on household income and family size according to the current Federal Poverty Guidelines and TWC’s approved Sliding Fee Discount Schedule.</w:t>
      </w:r>
    </w:p>
    <w:p>
      <w:pPr>
        <w:pStyle w:val="TextBody"/>
        <w:bidi w:val="0"/>
        <w:spacing w:lineRule="auto" w:line="276" w:before="0" w:after="140"/>
        <w:jc w:val="left"/>
        <w:rPr/>
      </w:pPr>
      <w:r>
        <w:rPr/>
        <w:t>Patients will not be denied services due to inability to pay.</w:t>
      </w:r>
    </w:p>
    <w:p>
      <w:pPr>
        <w:pStyle w:val="TextBody"/>
        <w:bidi w:val="0"/>
        <w:spacing w:lineRule="auto" w:line="276" w:before="0" w:after="140"/>
        <w:jc w:val="left"/>
        <w:rPr/>
      </w:pPr>
      <w:r>
        <w:rPr/>
        <w:t>Discounts may apply to behavioral health therapy services, medication management services, and other qualifying clinical services offered by TWC.</w:t>
      </w:r>
    </w:p>
    <w:p>
      <w:pPr>
        <w:pStyle w:val="Heading3"/>
        <w:bidi w:val="0"/>
        <w:jc w:val="left"/>
        <w:rPr/>
      </w:pPr>
      <w:r>
        <w:rPr/>
        <w:t>6A. Nominal Charge Requirement</w:t>
      </w:r>
    </w:p>
    <w:p>
      <w:pPr>
        <w:pStyle w:val="TextBody"/>
        <w:bidi w:val="0"/>
        <w:spacing w:lineRule="auto" w:line="276" w:before="0" w:after="140"/>
        <w:jc w:val="left"/>
        <w:rPr/>
      </w:pPr>
      <w:r>
        <w:rPr/>
        <w:t>In accordance with federal SFDP guidance, patients with household incomes at or below 100% of the Federal Poverty Guidelines may be assessed a nominal charge for services.</w:t>
      </w:r>
    </w:p>
    <w:p>
      <w:pPr>
        <w:pStyle w:val="TextBody"/>
        <w:bidi w:val="0"/>
        <w:spacing w:lineRule="auto" w:line="276" w:before="0" w:after="140"/>
        <w:jc w:val="left"/>
        <w:rPr/>
      </w:pPr>
      <w:r>
        <w:rPr/>
        <w:t>Nominal charges are intended to be minimal and not serve as barriers to care.</w:t>
      </w:r>
    </w:p>
    <w:p>
      <w:pPr>
        <w:pStyle w:val="TextBody"/>
        <w:bidi w:val="0"/>
        <w:spacing w:lineRule="auto" w:line="276" w:before="0" w:after="140"/>
        <w:jc w:val="left"/>
        <w:rPr/>
      </w:pPr>
      <w:r>
        <w:rPr/>
        <w:t>TWC has established the following nominal fee structure:</w:t>
      </w:r>
    </w:p>
    <w:p>
      <w:pPr>
        <w:pStyle w:val="TextBody"/>
        <w:numPr>
          <w:ilvl w:val="0"/>
          <w:numId w:val="4"/>
        </w:numPr>
        <w:tabs>
          <w:tab w:val="clear" w:pos="709"/>
          <w:tab w:val="left" w:pos="709" w:leader="none"/>
        </w:tabs>
        <w:bidi w:val="0"/>
        <w:ind w:left="709" w:hanging="283"/>
        <w:jc w:val="left"/>
        <w:rPr/>
      </w:pPr>
      <w:r>
        <w:rPr/>
        <w:t>Behavioral Health Therapy Visit: $20</w:t>
      </w:r>
    </w:p>
    <w:p>
      <w:pPr>
        <w:pStyle w:val="TextBody"/>
        <w:numPr>
          <w:ilvl w:val="0"/>
          <w:numId w:val="4"/>
        </w:numPr>
        <w:tabs>
          <w:tab w:val="clear" w:pos="709"/>
          <w:tab w:val="left" w:pos="709" w:leader="none"/>
        </w:tabs>
        <w:bidi w:val="0"/>
        <w:ind w:left="709" w:hanging="283"/>
        <w:jc w:val="left"/>
        <w:rPr/>
      </w:pPr>
      <w:r>
        <w:rPr/>
        <w:t>Medication Management Visit: $25</w:t>
      </w:r>
    </w:p>
    <w:p>
      <w:pPr>
        <w:pStyle w:val="TextBody"/>
        <w:numPr>
          <w:ilvl w:val="0"/>
          <w:numId w:val="4"/>
        </w:numPr>
        <w:tabs>
          <w:tab w:val="clear" w:pos="709"/>
          <w:tab w:val="left" w:pos="709" w:leader="none"/>
        </w:tabs>
        <w:bidi w:val="0"/>
        <w:ind w:left="709" w:hanging="283"/>
        <w:jc w:val="left"/>
        <w:rPr/>
      </w:pPr>
      <w:r>
        <w:rPr/>
        <w:t>Initial Assessment/Evaluation: $30</w:t>
      </w:r>
    </w:p>
    <w:p>
      <w:pPr>
        <w:pStyle w:val="TextBody"/>
        <w:bidi w:val="0"/>
        <w:jc w:val="left"/>
        <w:rPr/>
      </w:pPr>
      <w:r>
        <w:rPr/>
        <w:t>Nominal charges are not intended to function as insurance co-payments or barriers to care and may be reduced or waived based upon financial hardship. Patients will not be denied services due to inability to pay nominal charges.</w:t>
      </w:r>
    </w:p>
    <w:p>
      <w:pPr>
        <w:pStyle w:val="Heading2"/>
        <w:bidi w:val="0"/>
        <w:jc w:val="left"/>
        <w:rPr/>
      </w:pPr>
      <w:r>
        <w:rPr/>
        <w:t>7. Waiving of Charges</w:t>
      </w:r>
    </w:p>
    <w:p>
      <w:pPr>
        <w:pStyle w:val="TextBody"/>
        <w:bidi w:val="0"/>
        <w:spacing w:lineRule="auto" w:line="276" w:before="0" w:after="140"/>
        <w:jc w:val="left"/>
        <w:rPr/>
      </w:pPr>
      <w:r>
        <w:rPr/>
        <w:t>Waivers or reductions of nominal charges may be approved in cases of significant financial hardship or inability to pay.</w:t>
      </w:r>
    </w:p>
    <w:p>
      <w:pPr>
        <w:pStyle w:val="TextBody"/>
        <w:bidi w:val="0"/>
        <w:spacing w:lineRule="auto" w:line="276" w:before="0" w:after="140"/>
        <w:jc w:val="left"/>
        <w:rPr/>
      </w:pPr>
      <w:r>
        <w:rPr/>
        <w:t>All waivers must be documented appropriately with supporting rationale maintained in accordance with clinic policy.</w:t>
      </w:r>
    </w:p>
    <w:p>
      <w:pPr>
        <w:pStyle w:val="Heading2"/>
        <w:bidi w:val="0"/>
        <w:jc w:val="left"/>
        <w:rPr/>
      </w:pPr>
      <w:r>
        <w:rPr/>
        <w:t>8. Applicant Notification</w:t>
      </w:r>
    </w:p>
    <w:p>
      <w:pPr>
        <w:pStyle w:val="TextBody"/>
        <w:bidi w:val="0"/>
        <w:spacing w:lineRule="auto" w:line="276" w:before="0" w:after="140"/>
        <w:jc w:val="left"/>
        <w:rPr/>
      </w:pPr>
      <w:r>
        <w:rPr/>
        <w:t>Applicants will receive written notification regarding approval, denial, or discount determination.</w:t>
      </w:r>
    </w:p>
    <w:p>
      <w:pPr>
        <w:pStyle w:val="TextBody"/>
        <w:bidi w:val="0"/>
        <w:spacing w:lineRule="auto" w:line="276" w:before="0" w:after="140"/>
        <w:jc w:val="left"/>
        <w:rPr/>
      </w:pPr>
      <w:r>
        <w:rPr/>
        <w:t>Approved discounts may be applied retroactively for balances incurred up to six (6) months prior to approval when appropriate documentation is available.</w:t>
      </w:r>
    </w:p>
    <w:p>
      <w:pPr>
        <w:pStyle w:val="TextBody"/>
        <w:bidi w:val="0"/>
        <w:spacing w:lineRule="auto" w:line="276" w:before="0" w:after="140"/>
        <w:jc w:val="left"/>
        <w:rPr/>
      </w:pPr>
      <w:r>
        <w:rPr/>
        <w:t>Approved eligibility shall remain active for twelve (12) months unless there is a significant change in patient financial circumstances.</w:t>
      </w:r>
    </w:p>
    <w:p>
      <w:pPr>
        <w:pStyle w:val="Heading2"/>
        <w:bidi w:val="0"/>
        <w:jc w:val="left"/>
        <w:rPr/>
      </w:pPr>
      <w:r>
        <w:rPr/>
        <w:t>9. Refusal to Pay</w:t>
      </w:r>
    </w:p>
    <w:p>
      <w:pPr>
        <w:pStyle w:val="TextBody"/>
        <w:bidi w:val="0"/>
        <w:spacing w:lineRule="auto" w:line="276" w:before="0" w:after="140"/>
        <w:jc w:val="left"/>
        <w:rPr/>
      </w:pPr>
      <w:r>
        <w:rPr/>
        <w:t>If a patient refuses to pay without communication or effort to resolve balances, written notice may be provided.</w:t>
      </w:r>
    </w:p>
    <w:p>
      <w:pPr>
        <w:pStyle w:val="TextBody"/>
        <w:bidi w:val="0"/>
        <w:spacing w:lineRule="auto" w:line="276" w:before="0" w:after="140"/>
        <w:jc w:val="left"/>
        <w:rPr/>
      </w:pPr>
      <w:r>
        <w:rPr/>
        <w:t>Failure to respond within sixty (60) days may result in additional administrative review; however, patients will not be denied medically necessary services due solely to inability to pay.</w:t>
      </w:r>
    </w:p>
    <w:p>
      <w:pPr>
        <w:pStyle w:val="Heading2"/>
        <w:bidi w:val="0"/>
        <w:jc w:val="left"/>
        <w:rPr/>
      </w:pPr>
      <w:r>
        <w:rPr/>
        <w:t>10. Budgeting</w:t>
      </w:r>
    </w:p>
    <w:p>
      <w:pPr>
        <w:pStyle w:val="TextBody"/>
        <w:bidi w:val="0"/>
        <w:spacing w:lineRule="auto" w:line="276" w:before="0" w:after="140"/>
        <w:jc w:val="left"/>
        <w:rPr/>
      </w:pPr>
      <w:r>
        <w:rPr/>
        <w:t>Estimated SFDP discounts shall be incorporated annually into TWC’s operating budget as reductions in projected revenue.</w:t>
      </w:r>
    </w:p>
    <w:p>
      <w:pPr>
        <w:pStyle w:val="TextBody"/>
        <w:bidi w:val="0"/>
        <w:spacing w:lineRule="auto" w:line="276" w:before="0" w:after="140"/>
        <w:jc w:val="left"/>
        <w:rPr/>
      </w:pPr>
      <w:r>
        <w:rPr/>
        <w:t>TWC will maintain documentation supporting SFDP utilization and discount calculations for compliance and audit purposes.</w:t>
      </w:r>
    </w:p>
    <w:p>
      <w:pPr>
        <w:pStyle w:val="Heading2"/>
        <w:bidi w:val="0"/>
        <w:jc w:val="left"/>
        <w:rPr/>
      </w:pPr>
      <w:r>
        <w:rPr/>
        <w:t>11. Non-Discrimination Statement</w:t>
      </w:r>
    </w:p>
    <w:p>
      <w:pPr>
        <w:pStyle w:val="TextBody"/>
        <w:bidi w:val="0"/>
        <w:spacing w:lineRule="auto" w:line="276" w:before="0" w:after="140"/>
        <w:jc w:val="left"/>
        <w:rPr/>
      </w:pPr>
      <w:r>
        <w:rPr/>
        <w:t>Total Wellness Center provides services regardless of ability to pay, insurance status, race, color, national origin, sex, gender identity, sexual orientation, religion, disability, or age.</w:t>
      </w:r>
    </w:p>
    <w:p>
      <w:pPr>
        <w:pStyle w:val="TextBody"/>
        <w:bidi w:val="0"/>
        <w:spacing w:lineRule="auto" w:line="276" w:before="0" w:after="140"/>
        <w:jc w:val="left"/>
        <w:rPr/>
      </w:pPr>
      <w:r>
        <w:rPr/>
        <w:t>All patients will be treated with dignity, respect, and confidentiality throughout the application and treatment process.</w:t>
      </w:r>
    </w:p>
    <w:p>
      <w:pPr>
        <w:pStyle w:val="TextBody"/>
        <w:bidi w:val="0"/>
        <w:spacing w:lineRule="auto" w:line="276" w:before="0" w:after="140"/>
        <w:jc w:val="left"/>
        <w:rPr/>
      </w:pPr>
      <w:r>
        <w:rPr/>
      </w:r>
    </w:p>
    <w:p>
      <w:pPr>
        <w:pStyle w:val="TextBody"/>
        <w:bidi w:val="0"/>
        <w:spacing w:lineRule="auto" w:line="276" w:before="0" w:after="140"/>
        <w:jc w:val="left"/>
        <w:rPr/>
      </w:pPr>
      <w:r>
        <w:rPr/>
        <w:t xml:space="preserve">Approved By: </w:t>
      </w:r>
      <w:r>
        <w:rPr/>
        <w:t>Sarah Tyler</w:t>
      </w:r>
    </w:p>
    <w:p>
      <w:pPr>
        <w:pStyle w:val="TextBody"/>
        <w:bidi w:val="0"/>
        <w:spacing w:lineRule="auto" w:line="276" w:before="0" w:after="140"/>
        <w:jc w:val="left"/>
        <w:rPr/>
      </w:pPr>
      <w:r>
        <w:rPr/>
        <w:t xml:space="preserve">Title: </w:t>
      </w:r>
      <w:r>
        <w:rPr/>
        <w:t xml:space="preserve">Owner </w:t>
      </w:r>
    </w:p>
    <w:p>
      <w:pPr>
        <w:pStyle w:val="TextBody"/>
        <w:bidi w:val="0"/>
        <w:spacing w:lineRule="auto" w:line="276" w:before="0" w:after="140"/>
        <w:jc w:val="left"/>
        <w:rPr/>
      </w:pPr>
      <w:r>
        <w:rPr/>
        <w:t xml:space="preserve">Date: </w:t>
      </w:r>
      <w:r>
        <w:rPr/>
        <w:t>05/07/2026</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LibreOffice/7.5.0.3$Windows_X86_64 LibreOffice_project/c21113d003cd3efa8c53188764377a8272d9d6de</Application>
  <AppVersion>15.0000</AppVersion>
  <Pages>5</Pages>
  <Words>1001</Words>
  <Characters>5954</Characters>
  <CharactersWithSpaces>6855</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2026-05-07T16:32:10Z</dcterms:created>
  <dc:creator/>
  <dc:description/>
  <dc:language>en-US</dc:language>
  <cp:lastModifiedBy/>
  <cp:lastPrinted>2026-05-07T16:33:23Z</cp:lastPrinted>
  <dcterms:modified xsi:type="dcterms:W3CDTF">2026-05-07T16:39:47Z</dcterms:modified>
  <cp:revision>2</cp:revision>
  <dc:subject/>
  <dc:title/>
</cp:coreProperties>
</file>