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C4F2" w14:textId="4DCFF683" w:rsidR="00284DED" w:rsidRPr="003A2636" w:rsidRDefault="007655FB" w:rsidP="00284DED">
      <w:pPr>
        <w:pStyle w:val="Header"/>
        <w:jc w:val="center"/>
        <w:rPr>
          <w:rFonts w:ascii="Times New Roman" w:hAnsi="Times New Roman" w:cs="Times New Roman"/>
          <w:b/>
          <w:bCs/>
          <w:i/>
          <w:iCs/>
          <w:sz w:val="36"/>
          <w:szCs w:val="36"/>
        </w:rPr>
      </w:pPr>
      <w:r w:rsidRPr="003A2636">
        <w:rPr>
          <w:rFonts w:ascii="Times New Roman" w:hAnsi="Times New Roman" w:cs="Times New Roman"/>
          <w:b/>
          <w:bCs/>
          <w:i/>
          <w:iCs/>
          <w:noProof/>
        </w:rPr>
        <w:drawing>
          <wp:anchor distT="0" distB="0" distL="114300" distR="114300" simplePos="0" relativeHeight="251659264" behindDoc="1" locked="0" layoutInCell="1" allowOverlap="1" wp14:anchorId="45F164B7" wp14:editId="3E30E8CA">
            <wp:simplePos x="0" y="0"/>
            <wp:positionH relativeFrom="column">
              <wp:posOffset>5066665</wp:posOffset>
            </wp:positionH>
            <wp:positionV relativeFrom="paragraph">
              <wp:posOffset>0</wp:posOffset>
            </wp:positionV>
            <wp:extent cx="1051560" cy="1143000"/>
            <wp:effectExtent l="0" t="0" r="0" b="0"/>
            <wp:wrapTight wrapText="bothSides">
              <wp:wrapPolygon edited="0">
                <wp:start x="0" y="0"/>
                <wp:lineTo x="0" y="21240"/>
                <wp:lineTo x="21130" y="21240"/>
                <wp:lineTo x="21130" y="0"/>
                <wp:lineTo x="0" y="0"/>
              </wp:wrapPolygon>
            </wp:wrapTight>
            <wp:docPr id="4"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143000"/>
                    </a:xfrm>
                    <a:prstGeom prst="rect">
                      <a:avLst/>
                    </a:prstGeom>
                    <a:noFill/>
                  </pic:spPr>
                </pic:pic>
              </a:graphicData>
            </a:graphic>
            <wp14:sizeRelH relativeFrom="page">
              <wp14:pctWidth>0</wp14:pctWidth>
            </wp14:sizeRelH>
            <wp14:sizeRelV relativeFrom="page">
              <wp14:pctHeight>0</wp14:pctHeight>
            </wp14:sizeRelV>
          </wp:anchor>
        </w:drawing>
      </w:r>
      <w:r w:rsidRPr="003A2636">
        <w:rPr>
          <w:rFonts w:ascii="Times New Roman" w:hAnsi="Times New Roman" w:cs="Times New Roman"/>
          <w:b/>
          <w:bCs/>
          <w:i/>
          <w:iCs/>
          <w:noProof/>
        </w:rPr>
        <w:drawing>
          <wp:anchor distT="0" distB="0" distL="114300" distR="114300" simplePos="0" relativeHeight="251660288" behindDoc="1" locked="0" layoutInCell="1" allowOverlap="1" wp14:anchorId="08B975C4" wp14:editId="755F681E">
            <wp:simplePos x="0" y="0"/>
            <wp:positionH relativeFrom="column">
              <wp:posOffset>-209550</wp:posOffset>
            </wp:positionH>
            <wp:positionV relativeFrom="paragraph">
              <wp:posOffset>0</wp:posOffset>
            </wp:positionV>
            <wp:extent cx="1104900" cy="1104900"/>
            <wp:effectExtent l="0" t="0" r="0" b="0"/>
            <wp:wrapTight wrapText="bothSides">
              <wp:wrapPolygon edited="0">
                <wp:start x="0" y="0"/>
                <wp:lineTo x="0" y="21228"/>
                <wp:lineTo x="21228" y="21228"/>
                <wp:lineTo x="21228" y="0"/>
                <wp:lineTo x="0" y="0"/>
              </wp:wrapPolygon>
            </wp:wrapTight>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page">
              <wp14:pctWidth>0</wp14:pctWidth>
            </wp14:sizeRelH>
            <wp14:sizeRelV relativeFrom="page">
              <wp14:pctHeight>0</wp14:pctHeight>
            </wp14:sizeRelV>
          </wp:anchor>
        </w:drawing>
      </w:r>
      <w:r w:rsidR="00284DED" w:rsidRPr="003A2636">
        <w:rPr>
          <w:rFonts w:ascii="Times New Roman" w:hAnsi="Times New Roman" w:cs="Times New Roman"/>
          <w:b/>
          <w:bCs/>
          <w:i/>
          <w:iCs/>
          <w:sz w:val="36"/>
          <w:szCs w:val="36"/>
        </w:rPr>
        <w:t>South Texas Marksmanship</w:t>
      </w:r>
    </w:p>
    <w:p w14:paraId="6F0066CE" w14:textId="77777777" w:rsidR="00284DED" w:rsidRPr="003A2636" w:rsidRDefault="00284DED" w:rsidP="00284DED">
      <w:pPr>
        <w:pStyle w:val="Header"/>
        <w:jc w:val="center"/>
        <w:rPr>
          <w:rFonts w:ascii="Times New Roman" w:hAnsi="Times New Roman" w:cs="Times New Roman"/>
          <w:b/>
          <w:bCs/>
          <w:i/>
          <w:iCs/>
          <w:sz w:val="36"/>
          <w:szCs w:val="36"/>
        </w:rPr>
      </w:pPr>
      <w:r w:rsidRPr="003A2636">
        <w:rPr>
          <w:rFonts w:ascii="Times New Roman" w:hAnsi="Times New Roman" w:cs="Times New Roman"/>
          <w:b/>
          <w:bCs/>
          <w:i/>
          <w:iCs/>
          <w:sz w:val="36"/>
          <w:szCs w:val="36"/>
        </w:rPr>
        <w:t>Training Center</w:t>
      </w:r>
    </w:p>
    <w:p w14:paraId="290B2116" w14:textId="78A52DF5" w:rsidR="001051BE" w:rsidRPr="003A2636" w:rsidRDefault="008E24B1" w:rsidP="00FE2ADE">
      <w:pPr>
        <w:jc w:val="center"/>
        <w:rPr>
          <w:b/>
          <w:bCs/>
          <w:i/>
          <w:iCs/>
          <w:sz w:val="28"/>
        </w:rPr>
      </w:pPr>
      <w:r w:rsidRPr="003A2636">
        <w:rPr>
          <w:b/>
          <w:bCs/>
          <w:i/>
          <w:iCs/>
          <w:sz w:val="28"/>
        </w:rPr>
        <w:t xml:space="preserve">Small Bore </w:t>
      </w:r>
      <w:r w:rsidR="00D30CE5" w:rsidRPr="003A2636">
        <w:rPr>
          <w:b/>
          <w:bCs/>
          <w:i/>
          <w:iCs/>
          <w:sz w:val="28"/>
        </w:rPr>
        <w:t>Events</w:t>
      </w:r>
      <w:r w:rsidRPr="003A2636">
        <w:rPr>
          <w:b/>
          <w:bCs/>
          <w:i/>
          <w:iCs/>
          <w:sz w:val="28"/>
        </w:rPr>
        <w:t xml:space="preserve"> </w:t>
      </w:r>
      <w:r w:rsidR="00441C71" w:rsidRPr="003A2636">
        <w:rPr>
          <w:b/>
          <w:bCs/>
          <w:i/>
          <w:iCs/>
          <w:sz w:val="28"/>
        </w:rPr>
        <w:t>202</w:t>
      </w:r>
      <w:r w:rsidR="00A11621">
        <w:rPr>
          <w:b/>
          <w:bCs/>
          <w:i/>
          <w:iCs/>
          <w:sz w:val="28"/>
        </w:rPr>
        <w:t>6</w:t>
      </w:r>
    </w:p>
    <w:p w14:paraId="6597BE72" w14:textId="77777777" w:rsidR="001051BE" w:rsidRDefault="001051BE">
      <w:pPr>
        <w:rPr>
          <w:rFonts w:ascii="Arial" w:hAnsi="Arial"/>
          <w:sz w:val="28"/>
        </w:rPr>
      </w:pPr>
    </w:p>
    <w:p w14:paraId="32E7564D" w14:textId="78411B94" w:rsidR="004B4DBB" w:rsidRPr="00705CB0" w:rsidRDefault="00A11621" w:rsidP="004B4DBB">
      <w:pPr>
        <w:jc w:val="center"/>
        <w:rPr>
          <w:i/>
          <w:iCs/>
          <w:sz w:val="22"/>
          <w:szCs w:val="22"/>
        </w:rPr>
      </w:pPr>
      <w:r w:rsidRPr="00705CB0">
        <w:rPr>
          <w:i/>
          <w:iCs/>
          <w:sz w:val="22"/>
          <w:szCs w:val="22"/>
        </w:rPr>
        <w:t>Published</w:t>
      </w:r>
      <w:r w:rsidR="00046A5D" w:rsidRPr="00705CB0">
        <w:rPr>
          <w:i/>
          <w:iCs/>
          <w:sz w:val="22"/>
          <w:szCs w:val="22"/>
        </w:rPr>
        <w:t>:</w:t>
      </w:r>
      <w:r w:rsidR="004B4DBB" w:rsidRPr="00705CB0">
        <w:rPr>
          <w:i/>
          <w:iCs/>
          <w:sz w:val="22"/>
          <w:szCs w:val="22"/>
        </w:rPr>
        <w:t xml:space="preserve"> </w:t>
      </w:r>
      <w:r w:rsidR="007A3DD2">
        <w:rPr>
          <w:i/>
          <w:iCs/>
          <w:sz w:val="22"/>
          <w:szCs w:val="22"/>
        </w:rPr>
        <w:t>22 January 2025</w:t>
      </w:r>
    </w:p>
    <w:p w14:paraId="72637303" w14:textId="77777777" w:rsidR="00D51827" w:rsidRPr="00705CB0" w:rsidRDefault="00D51827" w:rsidP="00D51827">
      <w:pPr>
        <w:rPr>
          <w:b/>
          <w:bCs/>
          <w:sz w:val="22"/>
          <w:szCs w:val="22"/>
        </w:rPr>
      </w:pPr>
    </w:p>
    <w:p w14:paraId="0D4AF9C7" w14:textId="1ADEDA25" w:rsidR="00D51827" w:rsidRPr="00705CB0" w:rsidRDefault="00D51827" w:rsidP="00D51827">
      <w:pPr>
        <w:jc w:val="center"/>
        <w:rPr>
          <w:sz w:val="22"/>
          <w:szCs w:val="22"/>
        </w:rPr>
      </w:pPr>
      <w:r w:rsidRPr="00705CB0">
        <w:rPr>
          <w:b/>
          <w:bCs/>
          <w:sz w:val="22"/>
          <w:szCs w:val="22"/>
        </w:rPr>
        <w:t xml:space="preserve">Match Director:  </w:t>
      </w:r>
      <w:r w:rsidRPr="00705CB0">
        <w:rPr>
          <w:sz w:val="22"/>
          <w:szCs w:val="22"/>
        </w:rPr>
        <w:t>Wayne Nunn</w:t>
      </w:r>
    </w:p>
    <w:p w14:paraId="105CF96C" w14:textId="77777777" w:rsidR="00D51827" w:rsidRPr="00705CB0" w:rsidRDefault="00D51827" w:rsidP="00D51827">
      <w:pPr>
        <w:jc w:val="center"/>
        <w:rPr>
          <w:sz w:val="22"/>
          <w:szCs w:val="22"/>
        </w:rPr>
      </w:pPr>
      <w:r w:rsidRPr="00705CB0">
        <w:rPr>
          <w:b/>
          <w:bCs/>
          <w:sz w:val="22"/>
          <w:szCs w:val="22"/>
        </w:rPr>
        <w:t xml:space="preserve">Email:  </w:t>
      </w:r>
      <w:hyperlink r:id="rId10" w:history="1">
        <w:r w:rsidRPr="00705CB0">
          <w:rPr>
            <w:rStyle w:val="Hyperlink"/>
            <w:sz w:val="22"/>
            <w:szCs w:val="22"/>
          </w:rPr>
          <w:t>wsnunn@gvtc.com</w:t>
        </w:r>
      </w:hyperlink>
    </w:p>
    <w:p w14:paraId="6B84A2BD" w14:textId="15234E1D" w:rsidR="00D51827" w:rsidRPr="00705CB0" w:rsidRDefault="00D51827" w:rsidP="00D51827">
      <w:pPr>
        <w:jc w:val="center"/>
        <w:rPr>
          <w:sz w:val="22"/>
          <w:szCs w:val="22"/>
        </w:rPr>
      </w:pPr>
      <w:r w:rsidRPr="00705CB0">
        <w:rPr>
          <w:sz w:val="22"/>
          <w:szCs w:val="22"/>
        </w:rPr>
        <w:t>830-981-4490 HM</w:t>
      </w:r>
    </w:p>
    <w:p w14:paraId="32960665" w14:textId="77777777" w:rsidR="00C20ED3" w:rsidRPr="00705CB0" w:rsidRDefault="00C20ED3" w:rsidP="00D51827">
      <w:pPr>
        <w:jc w:val="center"/>
        <w:rPr>
          <w:sz w:val="22"/>
          <w:szCs w:val="22"/>
        </w:rPr>
      </w:pPr>
    </w:p>
    <w:p w14:paraId="636A12C3" w14:textId="56AE8A9A" w:rsidR="00C20ED3" w:rsidRPr="00705CB0" w:rsidRDefault="00C20ED3" w:rsidP="00420DE3">
      <w:pPr>
        <w:rPr>
          <w:sz w:val="22"/>
          <w:szCs w:val="22"/>
        </w:rPr>
      </w:pPr>
      <w:r w:rsidRPr="00705CB0">
        <w:rPr>
          <w:b/>
          <w:caps/>
          <w:sz w:val="22"/>
          <w:szCs w:val="22"/>
        </w:rPr>
        <w:t>Hosted By:</w:t>
      </w:r>
      <w:r w:rsidRPr="00705CB0">
        <w:rPr>
          <w:sz w:val="22"/>
          <w:szCs w:val="22"/>
        </w:rPr>
        <w:t xml:space="preserve">  South Texas Marksmanship Training Center (STMTC) &amp; Blackhawk Shooting Range</w:t>
      </w:r>
      <w:r w:rsidR="00DB49FB" w:rsidRPr="00705CB0">
        <w:rPr>
          <w:sz w:val="22"/>
          <w:szCs w:val="22"/>
        </w:rPr>
        <w:t>.</w:t>
      </w:r>
    </w:p>
    <w:p w14:paraId="4CC43284" w14:textId="77777777" w:rsidR="00D51827" w:rsidRPr="00705CB0" w:rsidRDefault="00D51827" w:rsidP="00420DE3">
      <w:pPr>
        <w:rPr>
          <w:sz w:val="22"/>
          <w:szCs w:val="22"/>
        </w:rPr>
      </w:pPr>
    </w:p>
    <w:tbl>
      <w:tblPr>
        <w:tblStyle w:val="TableGrid"/>
        <w:tblW w:w="0" w:type="auto"/>
        <w:tblInd w:w="535" w:type="dxa"/>
        <w:tblLook w:val="04A0" w:firstRow="1" w:lastRow="0" w:firstColumn="1" w:lastColumn="0" w:noHBand="0" w:noVBand="1"/>
      </w:tblPr>
      <w:tblGrid>
        <w:gridCol w:w="2160"/>
        <w:gridCol w:w="6120"/>
      </w:tblGrid>
      <w:tr w:rsidR="00D51827" w:rsidRPr="00705CB0" w14:paraId="228273C9" w14:textId="77777777" w:rsidTr="00CE6C7A">
        <w:tc>
          <w:tcPr>
            <w:tcW w:w="8280" w:type="dxa"/>
            <w:gridSpan w:val="2"/>
            <w:tcBorders>
              <w:top w:val="nil"/>
              <w:left w:val="nil"/>
              <w:bottom w:val="single" w:sz="4" w:space="0" w:color="auto"/>
              <w:right w:val="nil"/>
            </w:tcBorders>
            <w:shd w:val="clear" w:color="auto" w:fill="000000" w:themeFill="text1"/>
          </w:tcPr>
          <w:p w14:paraId="2AF8B69D" w14:textId="1834DC41" w:rsidR="00D51827" w:rsidRPr="00705CB0" w:rsidRDefault="00D51827" w:rsidP="00420DE3">
            <w:pPr>
              <w:jc w:val="center"/>
              <w:rPr>
                <w:b/>
                <w:bCs/>
                <w:color w:val="000000" w:themeColor="text1"/>
                <w:sz w:val="22"/>
                <w:szCs w:val="22"/>
              </w:rPr>
            </w:pPr>
            <w:r w:rsidRPr="00705CB0">
              <w:rPr>
                <w:b/>
                <w:bCs/>
                <w:color w:val="FFFFFF" w:themeColor="background1"/>
                <w:sz w:val="22"/>
                <w:szCs w:val="22"/>
              </w:rPr>
              <w:t>Events Schedule</w:t>
            </w:r>
          </w:p>
        </w:tc>
      </w:tr>
      <w:tr w:rsidR="00151466" w:rsidRPr="00705CB0" w14:paraId="49063311" w14:textId="77777777" w:rsidTr="00151466">
        <w:tc>
          <w:tcPr>
            <w:tcW w:w="2160" w:type="dxa"/>
            <w:tcBorders>
              <w:top w:val="nil"/>
              <w:left w:val="nil"/>
              <w:bottom w:val="single" w:sz="4" w:space="0" w:color="auto"/>
              <w:right w:val="nil"/>
            </w:tcBorders>
            <w:shd w:val="clear" w:color="auto" w:fill="D9D9D9" w:themeFill="background1" w:themeFillShade="D9"/>
          </w:tcPr>
          <w:p w14:paraId="68A5EBDC" w14:textId="414197A1" w:rsidR="00151466" w:rsidRPr="007A3DD2" w:rsidRDefault="00151466" w:rsidP="00420DE3">
            <w:r w:rsidRPr="007A3DD2">
              <w:t>January 1</w:t>
            </w:r>
            <w:r w:rsidR="001C2B03" w:rsidRPr="007A3DD2">
              <w:t>0</w:t>
            </w:r>
            <w:r w:rsidRPr="007A3DD2">
              <w:rPr>
                <w:vertAlign w:val="superscript"/>
              </w:rPr>
              <w:t>th</w:t>
            </w:r>
            <w:r w:rsidRPr="007A3DD2">
              <w:t xml:space="preserve"> </w:t>
            </w:r>
          </w:p>
        </w:tc>
        <w:tc>
          <w:tcPr>
            <w:tcW w:w="6120" w:type="dxa"/>
            <w:tcBorders>
              <w:top w:val="nil"/>
              <w:left w:val="nil"/>
              <w:bottom w:val="single" w:sz="4" w:space="0" w:color="auto"/>
              <w:right w:val="nil"/>
            </w:tcBorders>
            <w:shd w:val="clear" w:color="auto" w:fill="D9D9D9" w:themeFill="background1" w:themeFillShade="D9"/>
          </w:tcPr>
          <w:p w14:paraId="4056479D" w14:textId="0E136C0F" w:rsidR="00151466" w:rsidRPr="007A3DD2" w:rsidRDefault="00151466" w:rsidP="00420DE3">
            <w:r w:rsidRPr="007A3DD2">
              <w:t>800 Prone, F</w:t>
            </w:r>
            <w:r w:rsidR="00D30CE5" w:rsidRPr="007A3DD2">
              <w:t>-</w:t>
            </w:r>
            <w:r w:rsidRPr="007A3DD2">
              <w:t>Class and 3P</w:t>
            </w:r>
          </w:p>
        </w:tc>
      </w:tr>
      <w:tr w:rsidR="00151466" w:rsidRPr="00705CB0" w14:paraId="7BD12A70" w14:textId="77777777" w:rsidTr="00151466">
        <w:tc>
          <w:tcPr>
            <w:tcW w:w="2160" w:type="dxa"/>
            <w:tcBorders>
              <w:top w:val="single" w:sz="4" w:space="0" w:color="auto"/>
              <w:left w:val="nil"/>
              <w:bottom w:val="single" w:sz="4" w:space="0" w:color="auto"/>
              <w:right w:val="nil"/>
            </w:tcBorders>
          </w:tcPr>
          <w:p w14:paraId="0DE1F5A3" w14:textId="5FF12809" w:rsidR="00151466" w:rsidRPr="007A3DD2" w:rsidRDefault="00151466" w:rsidP="00420DE3">
            <w:r w:rsidRPr="007A3DD2">
              <w:t>February 1</w:t>
            </w:r>
            <w:r w:rsidR="00A11621" w:rsidRPr="007A3DD2">
              <w:t>4</w:t>
            </w:r>
            <w:r w:rsidR="00A11621" w:rsidRPr="007A3DD2">
              <w:rPr>
                <w:vertAlign w:val="superscript"/>
              </w:rPr>
              <w:t>th</w:t>
            </w:r>
            <w:r w:rsidR="00A11621" w:rsidRPr="007A3DD2">
              <w:t xml:space="preserve"> </w:t>
            </w:r>
          </w:p>
        </w:tc>
        <w:tc>
          <w:tcPr>
            <w:tcW w:w="6120" w:type="dxa"/>
            <w:tcBorders>
              <w:top w:val="single" w:sz="4" w:space="0" w:color="auto"/>
              <w:left w:val="nil"/>
              <w:bottom w:val="single" w:sz="4" w:space="0" w:color="auto"/>
              <w:right w:val="nil"/>
            </w:tcBorders>
          </w:tcPr>
          <w:p w14:paraId="30991541" w14:textId="57B68658" w:rsidR="00151466" w:rsidRPr="007A3DD2" w:rsidRDefault="00292957" w:rsidP="00420DE3">
            <w:r w:rsidRPr="007A3DD2">
              <w:t>National Match Course (</w:t>
            </w:r>
            <w:r w:rsidR="00151466" w:rsidRPr="007A3DD2">
              <w:t>NMC</w:t>
            </w:r>
            <w:r w:rsidRPr="007A3DD2">
              <w:t>)</w:t>
            </w:r>
            <w:r w:rsidR="00151466" w:rsidRPr="007A3DD2">
              <w:t xml:space="preserve"> for repeater .22 Rifles</w:t>
            </w:r>
          </w:p>
        </w:tc>
      </w:tr>
      <w:tr w:rsidR="00151466" w:rsidRPr="00705CB0" w14:paraId="443E3FD2" w14:textId="77777777" w:rsidTr="00151466">
        <w:tc>
          <w:tcPr>
            <w:tcW w:w="2160" w:type="dxa"/>
            <w:tcBorders>
              <w:top w:val="single" w:sz="4" w:space="0" w:color="auto"/>
              <w:left w:val="nil"/>
              <w:bottom w:val="single" w:sz="4" w:space="0" w:color="auto"/>
              <w:right w:val="nil"/>
            </w:tcBorders>
            <w:shd w:val="clear" w:color="auto" w:fill="D9D9D9" w:themeFill="background1" w:themeFillShade="D9"/>
          </w:tcPr>
          <w:p w14:paraId="22560400" w14:textId="696813D4" w:rsidR="00151466" w:rsidRPr="007A3DD2" w:rsidRDefault="00151466" w:rsidP="00420DE3">
            <w:pPr>
              <w:rPr>
                <w:b/>
                <w:bCs/>
              </w:rPr>
            </w:pPr>
            <w:r w:rsidRPr="007A3DD2">
              <w:rPr>
                <w:b/>
                <w:bCs/>
              </w:rPr>
              <w:t xml:space="preserve">March </w:t>
            </w:r>
            <w:r w:rsidR="002106C1" w:rsidRPr="007A3DD2">
              <w:rPr>
                <w:b/>
                <w:bCs/>
              </w:rPr>
              <w:t>14</w:t>
            </w:r>
            <w:r w:rsidRPr="007A3DD2">
              <w:rPr>
                <w:b/>
                <w:bCs/>
                <w:vertAlign w:val="superscript"/>
              </w:rPr>
              <w:t>th</w:t>
            </w:r>
            <w:r w:rsidRPr="007A3DD2">
              <w:rPr>
                <w:b/>
                <w:bCs/>
              </w:rPr>
              <w:t xml:space="preserve"> </w:t>
            </w:r>
          </w:p>
        </w:tc>
        <w:tc>
          <w:tcPr>
            <w:tcW w:w="6120" w:type="dxa"/>
            <w:tcBorders>
              <w:top w:val="single" w:sz="4" w:space="0" w:color="auto"/>
              <w:left w:val="nil"/>
              <w:bottom w:val="single" w:sz="4" w:space="0" w:color="auto"/>
              <w:right w:val="nil"/>
            </w:tcBorders>
            <w:shd w:val="clear" w:color="auto" w:fill="D9D9D9" w:themeFill="background1" w:themeFillShade="D9"/>
          </w:tcPr>
          <w:p w14:paraId="58E42A79" w14:textId="06A42CAC" w:rsidR="00151466" w:rsidRPr="007A3DD2" w:rsidRDefault="00393CE6" w:rsidP="00420DE3">
            <w:pPr>
              <w:rPr>
                <w:b/>
                <w:bCs/>
              </w:rPr>
            </w:pPr>
            <w:r w:rsidRPr="007A3DD2">
              <w:rPr>
                <w:b/>
                <w:bCs/>
              </w:rPr>
              <w:t>NRA Approved 1</w:t>
            </w:r>
            <w:r w:rsidR="002807FA" w:rsidRPr="007A3DD2">
              <w:rPr>
                <w:b/>
                <w:bCs/>
              </w:rPr>
              <w:t>6</w:t>
            </w:r>
            <w:r w:rsidR="000B04C9" w:rsidRPr="007A3DD2">
              <w:rPr>
                <w:b/>
                <w:bCs/>
              </w:rPr>
              <w:t>00 Prone, F Class (CMP Sanctioned EIC)</w:t>
            </w:r>
          </w:p>
        </w:tc>
      </w:tr>
      <w:tr w:rsidR="00151466" w:rsidRPr="00705CB0" w14:paraId="23DC4610" w14:textId="77777777" w:rsidTr="00151466">
        <w:tc>
          <w:tcPr>
            <w:tcW w:w="2160" w:type="dxa"/>
            <w:tcBorders>
              <w:top w:val="single" w:sz="4" w:space="0" w:color="auto"/>
              <w:left w:val="nil"/>
              <w:bottom w:val="single" w:sz="4" w:space="0" w:color="auto"/>
              <w:right w:val="nil"/>
            </w:tcBorders>
          </w:tcPr>
          <w:p w14:paraId="2323294B" w14:textId="648E5AF0" w:rsidR="00151466" w:rsidRPr="007A3DD2" w:rsidRDefault="00151466" w:rsidP="00420DE3">
            <w:r w:rsidRPr="007A3DD2">
              <w:t xml:space="preserve">April </w:t>
            </w:r>
            <w:r w:rsidR="001E7E88" w:rsidRPr="007A3DD2">
              <w:t>1</w:t>
            </w:r>
            <w:r w:rsidR="002106C1" w:rsidRPr="007A3DD2">
              <w:t>1</w:t>
            </w:r>
            <w:r w:rsidRPr="007A3DD2">
              <w:rPr>
                <w:vertAlign w:val="superscript"/>
              </w:rPr>
              <w:t>th</w:t>
            </w:r>
            <w:r w:rsidRPr="007A3DD2">
              <w:t xml:space="preserve">   </w:t>
            </w:r>
          </w:p>
        </w:tc>
        <w:tc>
          <w:tcPr>
            <w:tcW w:w="6120" w:type="dxa"/>
            <w:tcBorders>
              <w:top w:val="single" w:sz="4" w:space="0" w:color="auto"/>
              <w:left w:val="nil"/>
              <w:bottom w:val="single" w:sz="4" w:space="0" w:color="auto"/>
              <w:right w:val="nil"/>
            </w:tcBorders>
          </w:tcPr>
          <w:p w14:paraId="16F3D919" w14:textId="2626820C" w:rsidR="00151466" w:rsidRPr="007A3DD2" w:rsidRDefault="00151466" w:rsidP="00420DE3">
            <w:r w:rsidRPr="007A3DD2">
              <w:t xml:space="preserve">Bob Tapia Mini Palma </w:t>
            </w:r>
            <w:r w:rsidR="00D51827" w:rsidRPr="007A3DD2">
              <w:t>(Prone &amp; F-Class)</w:t>
            </w:r>
          </w:p>
        </w:tc>
      </w:tr>
      <w:tr w:rsidR="00151466" w:rsidRPr="00705CB0" w14:paraId="0E491557" w14:textId="77777777" w:rsidTr="00151466">
        <w:tc>
          <w:tcPr>
            <w:tcW w:w="2160" w:type="dxa"/>
            <w:tcBorders>
              <w:top w:val="single" w:sz="4" w:space="0" w:color="auto"/>
              <w:left w:val="nil"/>
              <w:bottom w:val="single" w:sz="4" w:space="0" w:color="auto"/>
              <w:right w:val="nil"/>
            </w:tcBorders>
            <w:shd w:val="clear" w:color="auto" w:fill="D9D9D9" w:themeFill="background1" w:themeFillShade="D9"/>
          </w:tcPr>
          <w:p w14:paraId="54788D35" w14:textId="2C91F81A" w:rsidR="00151466" w:rsidRPr="007A3DD2" w:rsidRDefault="00151466" w:rsidP="00420DE3">
            <w:pPr>
              <w:rPr>
                <w:b/>
                <w:bCs/>
              </w:rPr>
            </w:pPr>
            <w:r w:rsidRPr="007A3DD2">
              <w:rPr>
                <w:b/>
                <w:bCs/>
              </w:rPr>
              <w:t xml:space="preserve">May </w:t>
            </w:r>
            <w:r w:rsidR="002106C1" w:rsidRPr="007A3DD2">
              <w:rPr>
                <w:b/>
                <w:bCs/>
              </w:rPr>
              <w:t>9</w:t>
            </w:r>
            <w:r w:rsidR="002106C1" w:rsidRPr="007A3DD2">
              <w:rPr>
                <w:b/>
                <w:bCs/>
                <w:vertAlign w:val="superscript"/>
              </w:rPr>
              <w:t>th</w:t>
            </w:r>
            <w:r w:rsidRPr="007A3DD2">
              <w:rPr>
                <w:b/>
                <w:bCs/>
              </w:rPr>
              <w:t xml:space="preserve">   </w:t>
            </w:r>
          </w:p>
        </w:tc>
        <w:tc>
          <w:tcPr>
            <w:tcW w:w="6120" w:type="dxa"/>
            <w:tcBorders>
              <w:top w:val="single" w:sz="4" w:space="0" w:color="auto"/>
              <w:left w:val="nil"/>
              <w:bottom w:val="single" w:sz="4" w:space="0" w:color="auto"/>
              <w:right w:val="nil"/>
            </w:tcBorders>
            <w:shd w:val="clear" w:color="auto" w:fill="D9D9D9" w:themeFill="background1" w:themeFillShade="D9"/>
          </w:tcPr>
          <w:p w14:paraId="2FCE0957" w14:textId="5EF45DA2" w:rsidR="00151466" w:rsidRPr="007A3DD2" w:rsidRDefault="00393CE6" w:rsidP="00420DE3">
            <w:pPr>
              <w:rPr>
                <w:b/>
                <w:bCs/>
              </w:rPr>
            </w:pPr>
            <w:r w:rsidRPr="007A3DD2">
              <w:rPr>
                <w:b/>
                <w:bCs/>
              </w:rPr>
              <w:t xml:space="preserve">NRA Approved </w:t>
            </w:r>
            <w:r w:rsidR="00756415" w:rsidRPr="007A3DD2">
              <w:rPr>
                <w:b/>
                <w:bCs/>
              </w:rPr>
              <w:t>1</w:t>
            </w:r>
            <w:r w:rsidR="00E504D0" w:rsidRPr="007A3DD2">
              <w:rPr>
                <w:b/>
                <w:bCs/>
              </w:rPr>
              <w:t>200</w:t>
            </w:r>
            <w:r w:rsidR="00D51827" w:rsidRPr="007A3DD2">
              <w:rPr>
                <w:b/>
                <w:bCs/>
              </w:rPr>
              <w:t xml:space="preserve"> </w:t>
            </w:r>
            <w:r w:rsidR="00E504D0" w:rsidRPr="007A3DD2">
              <w:rPr>
                <w:b/>
                <w:bCs/>
              </w:rPr>
              <w:t>Prone &amp;</w:t>
            </w:r>
            <w:r w:rsidR="00151466" w:rsidRPr="007A3DD2">
              <w:rPr>
                <w:b/>
                <w:bCs/>
              </w:rPr>
              <w:t xml:space="preserve"> F</w:t>
            </w:r>
            <w:r w:rsidR="00E504D0" w:rsidRPr="007A3DD2">
              <w:rPr>
                <w:b/>
                <w:bCs/>
              </w:rPr>
              <w:t>-</w:t>
            </w:r>
            <w:r w:rsidR="00151466" w:rsidRPr="007A3DD2">
              <w:rPr>
                <w:b/>
                <w:bCs/>
              </w:rPr>
              <w:t>Class</w:t>
            </w:r>
            <w:r w:rsidR="003A047A" w:rsidRPr="007A3DD2">
              <w:rPr>
                <w:b/>
                <w:bCs/>
              </w:rPr>
              <w:t xml:space="preserve"> </w:t>
            </w:r>
            <w:r w:rsidR="000B04C9" w:rsidRPr="007A3DD2">
              <w:rPr>
                <w:b/>
                <w:bCs/>
              </w:rPr>
              <w:t xml:space="preserve">(CMP </w:t>
            </w:r>
            <w:r w:rsidR="00C46EAB" w:rsidRPr="007A3DD2">
              <w:rPr>
                <w:b/>
                <w:bCs/>
              </w:rPr>
              <w:t>Registered</w:t>
            </w:r>
            <w:r w:rsidR="000B04C9" w:rsidRPr="007A3DD2">
              <w:rPr>
                <w:b/>
                <w:bCs/>
              </w:rPr>
              <w:t>)</w:t>
            </w:r>
          </w:p>
        </w:tc>
      </w:tr>
      <w:tr w:rsidR="00151466" w:rsidRPr="00705CB0" w14:paraId="2A26321F" w14:textId="77777777" w:rsidTr="00151466">
        <w:tc>
          <w:tcPr>
            <w:tcW w:w="2160" w:type="dxa"/>
            <w:tcBorders>
              <w:top w:val="single" w:sz="4" w:space="0" w:color="auto"/>
              <w:left w:val="nil"/>
              <w:bottom w:val="single" w:sz="4" w:space="0" w:color="auto"/>
              <w:right w:val="nil"/>
            </w:tcBorders>
          </w:tcPr>
          <w:p w14:paraId="24C47011" w14:textId="392C4AF6" w:rsidR="00151466" w:rsidRPr="007A3DD2" w:rsidRDefault="00151466" w:rsidP="00420DE3">
            <w:r w:rsidRPr="007A3DD2">
              <w:t xml:space="preserve">June </w:t>
            </w:r>
            <w:r w:rsidR="00825A61" w:rsidRPr="007A3DD2">
              <w:t>13</w:t>
            </w:r>
            <w:r w:rsidR="00825A61" w:rsidRPr="007A3DD2">
              <w:rPr>
                <w:vertAlign w:val="superscript"/>
              </w:rPr>
              <w:t>th</w:t>
            </w:r>
            <w:r w:rsidR="00825A61" w:rsidRPr="007A3DD2">
              <w:t xml:space="preserve"> </w:t>
            </w:r>
          </w:p>
        </w:tc>
        <w:tc>
          <w:tcPr>
            <w:tcW w:w="6120" w:type="dxa"/>
            <w:tcBorders>
              <w:top w:val="single" w:sz="4" w:space="0" w:color="auto"/>
              <w:left w:val="nil"/>
              <w:bottom w:val="single" w:sz="4" w:space="0" w:color="auto"/>
              <w:right w:val="nil"/>
            </w:tcBorders>
          </w:tcPr>
          <w:p w14:paraId="1F0BFE44" w14:textId="2CDF74C4" w:rsidR="00151466" w:rsidRPr="007A3DD2" w:rsidRDefault="00151466" w:rsidP="00420DE3">
            <w:r w:rsidRPr="007A3DD2">
              <w:t>800 Prone, F</w:t>
            </w:r>
            <w:r w:rsidR="00D30CE5" w:rsidRPr="007A3DD2">
              <w:t>-</w:t>
            </w:r>
            <w:r w:rsidRPr="007A3DD2">
              <w:t>Class</w:t>
            </w:r>
            <w:r w:rsidR="00861F8E" w:rsidRPr="007A3DD2">
              <w:t xml:space="preserve"> | 3</w:t>
            </w:r>
            <w:r w:rsidR="001C2613" w:rsidRPr="007A3DD2">
              <w:t>-</w:t>
            </w:r>
            <w:r w:rsidR="00861F8E" w:rsidRPr="007A3DD2">
              <w:t>P</w:t>
            </w:r>
            <w:r w:rsidR="001C2613" w:rsidRPr="007A3DD2">
              <w:t>osition 3x20</w:t>
            </w:r>
          </w:p>
        </w:tc>
      </w:tr>
      <w:tr w:rsidR="00151466" w:rsidRPr="00705CB0" w14:paraId="436333FE" w14:textId="77777777" w:rsidTr="00151466">
        <w:tc>
          <w:tcPr>
            <w:tcW w:w="2160" w:type="dxa"/>
            <w:tcBorders>
              <w:top w:val="single" w:sz="4" w:space="0" w:color="auto"/>
              <w:left w:val="nil"/>
              <w:bottom w:val="single" w:sz="4" w:space="0" w:color="auto"/>
              <w:right w:val="nil"/>
            </w:tcBorders>
            <w:shd w:val="clear" w:color="auto" w:fill="D9D9D9" w:themeFill="background1" w:themeFillShade="D9"/>
          </w:tcPr>
          <w:p w14:paraId="165DAAAD" w14:textId="1EACCCA0" w:rsidR="00151466" w:rsidRPr="007A3DD2" w:rsidRDefault="00151466" w:rsidP="00420DE3">
            <w:r w:rsidRPr="007A3DD2">
              <w:t xml:space="preserve">July </w:t>
            </w:r>
            <w:r w:rsidR="001E7E88" w:rsidRPr="007A3DD2">
              <w:t>1</w:t>
            </w:r>
            <w:r w:rsidR="00DB49FB" w:rsidRPr="007A3DD2">
              <w:t>1</w:t>
            </w:r>
            <w:r w:rsidRPr="007A3DD2">
              <w:rPr>
                <w:vertAlign w:val="superscript"/>
              </w:rPr>
              <w:t>th</w:t>
            </w:r>
            <w:r w:rsidRPr="007A3DD2">
              <w:t xml:space="preserve">    </w:t>
            </w:r>
          </w:p>
        </w:tc>
        <w:tc>
          <w:tcPr>
            <w:tcW w:w="6120" w:type="dxa"/>
            <w:tcBorders>
              <w:top w:val="single" w:sz="4" w:space="0" w:color="auto"/>
              <w:left w:val="nil"/>
              <w:bottom w:val="single" w:sz="4" w:space="0" w:color="auto"/>
              <w:right w:val="nil"/>
            </w:tcBorders>
            <w:shd w:val="clear" w:color="auto" w:fill="D9D9D9" w:themeFill="background1" w:themeFillShade="D9"/>
          </w:tcPr>
          <w:p w14:paraId="22697967" w14:textId="3B42F1ED" w:rsidR="00151466" w:rsidRPr="007A3DD2" w:rsidRDefault="001C2613" w:rsidP="00420DE3">
            <w:r w:rsidRPr="007A3DD2">
              <w:t>800 Prone, F-Class | 3-Position 3x20</w:t>
            </w:r>
          </w:p>
        </w:tc>
      </w:tr>
      <w:tr w:rsidR="00151466" w:rsidRPr="00705CB0" w14:paraId="5450171C" w14:textId="77777777" w:rsidTr="00151466">
        <w:tc>
          <w:tcPr>
            <w:tcW w:w="2160" w:type="dxa"/>
            <w:tcBorders>
              <w:top w:val="single" w:sz="4" w:space="0" w:color="auto"/>
              <w:left w:val="nil"/>
              <w:bottom w:val="single" w:sz="4" w:space="0" w:color="auto"/>
              <w:right w:val="nil"/>
            </w:tcBorders>
          </w:tcPr>
          <w:p w14:paraId="4FCE6D5E" w14:textId="471C1738" w:rsidR="00151466" w:rsidRPr="007A3DD2" w:rsidRDefault="00151466" w:rsidP="00420DE3">
            <w:r w:rsidRPr="007A3DD2">
              <w:t xml:space="preserve">August </w:t>
            </w:r>
            <w:r w:rsidR="00DB49FB" w:rsidRPr="007A3DD2">
              <w:t>8</w:t>
            </w:r>
            <w:r w:rsidRPr="007A3DD2">
              <w:rPr>
                <w:vertAlign w:val="superscript"/>
              </w:rPr>
              <w:t>th</w:t>
            </w:r>
            <w:r w:rsidRPr="007A3DD2">
              <w:t xml:space="preserve">   </w:t>
            </w:r>
          </w:p>
        </w:tc>
        <w:tc>
          <w:tcPr>
            <w:tcW w:w="6120" w:type="dxa"/>
            <w:tcBorders>
              <w:top w:val="single" w:sz="4" w:space="0" w:color="auto"/>
              <w:left w:val="nil"/>
              <w:bottom w:val="single" w:sz="4" w:space="0" w:color="auto"/>
              <w:right w:val="nil"/>
            </w:tcBorders>
          </w:tcPr>
          <w:p w14:paraId="3D467DAC" w14:textId="6872145F" w:rsidR="00151466" w:rsidRPr="007A3DD2" w:rsidRDefault="001C2613" w:rsidP="00420DE3">
            <w:r w:rsidRPr="007A3DD2">
              <w:t>800 Prone, F-Class | 3-Position 3x20</w:t>
            </w:r>
          </w:p>
        </w:tc>
      </w:tr>
      <w:tr w:rsidR="00151466" w:rsidRPr="00705CB0" w14:paraId="2537A1B5" w14:textId="77777777" w:rsidTr="00151466">
        <w:tc>
          <w:tcPr>
            <w:tcW w:w="2160" w:type="dxa"/>
            <w:tcBorders>
              <w:top w:val="single" w:sz="4" w:space="0" w:color="auto"/>
              <w:left w:val="nil"/>
              <w:bottom w:val="single" w:sz="4" w:space="0" w:color="auto"/>
              <w:right w:val="nil"/>
            </w:tcBorders>
            <w:shd w:val="clear" w:color="auto" w:fill="D9D9D9" w:themeFill="background1" w:themeFillShade="D9"/>
          </w:tcPr>
          <w:p w14:paraId="7548E787" w14:textId="53507A06" w:rsidR="00151466" w:rsidRPr="007A3DD2" w:rsidRDefault="00151466" w:rsidP="00420DE3">
            <w:pPr>
              <w:rPr>
                <w:b/>
                <w:bCs/>
              </w:rPr>
            </w:pPr>
            <w:r w:rsidRPr="007A3DD2">
              <w:rPr>
                <w:b/>
                <w:bCs/>
              </w:rPr>
              <w:t xml:space="preserve">September </w:t>
            </w:r>
            <w:r w:rsidR="001E7E88" w:rsidRPr="007A3DD2">
              <w:rPr>
                <w:b/>
                <w:bCs/>
              </w:rPr>
              <w:t>1</w:t>
            </w:r>
            <w:r w:rsidR="00DB49FB" w:rsidRPr="007A3DD2">
              <w:rPr>
                <w:b/>
                <w:bCs/>
              </w:rPr>
              <w:t>2</w:t>
            </w:r>
            <w:r w:rsidRPr="007A3DD2">
              <w:rPr>
                <w:b/>
                <w:bCs/>
                <w:vertAlign w:val="superscript"/>
              </w:rPr>
              <w:t>th</w:t>
            </w:r>
            <w:r w:rsidRPr="007A3DD2">
              <w:rPr>
                <w:b/>
                <w:bCs/>
              </w:rPr>
              <w:t xml:space="preserve">   </w:t>
            </w:r>
          </w:p>
        </w:tc>
        <w:tc>
          <w:tcPr>
            <w:tcW w:w="6120" w:type="dxa"/>
            <w:tcBorders>
              <w:top w:val="single" w:sz="4" w:space="0" w:color="auto"/>
              <w:left w:val="nil"/>
              <w:bottom w:val="single" w:sz="4" w:space="0" w:color="auto"/>
              <w:right w:val="nil"/>
            </w:tcBorders>
            <w:shd w:val="clear" w:color="auto" w:fill="D9D9D9" w:themeFill="background1" w:themeFillShade="D9"/>
          </w:tcPr>
          <w:p w14:paraId="08E71C5C" w14:textId="6E6A25B1" w:rsidR="00151466" w:rsidRPr="007A3DD2" w:rsidRDefault="00C46EAB" w:rsidP="00420DE3">
            <w:pPr>
              <w:rPr>
                <w:b/>
                <w:bCs/>
              </w:rPr>
            </w:pPr>
            <w:r w:rsidRPr="007A3DD2">
              <w:rPr>
                <w:b/>
                <w:bCs/>
              </w:rPr>
              <w:t>NRA Approved 1</w:t>
            </w:r>
            <w:r w:rsidR="002807FA" w:rsidRPr="007A3DD2">
              <w:rPr>
                <w:b/>
                <w:bCs/>
              </w:rPr>
              <w:t>6</w:t>
            </w:r>
            <w:r w:rsidR="00151466" w:rsidRPr="007A3DD2">
              <w:rPr>
                <w:b/>
                <w:bCs/>
              </w:rPr>
              <w:t>00</w:t>
            </w:r>
            <w:r w:rsidR="00BD4A80" w:rsidRPr="007A3DD2">
              <w:rPr>
                <w:b/>
                <w:bCs/>
              </w:rPr>
              <w:t xml:space="preserve"> </w:t>
            </w:r>
            <w:r w:rsidR="00151466" w:rsidRPr="007A3DD2">
              <w:rPr>
                <w:b/>
                <w:bCs/>
              </w:rPr>
              <w:t xml:space="preserve">Prone, F Class </w:t>
            </w:r>
            <w:r w:rsidR="00063EF5" w:rsidRPr="007A3DD2">
              <w:rPr>
                <w:b/>
                <w:bCs/>
              </w:rPr>
              <w:t>(CMP Sanctioned EIC)</w:t>
            </w:r>
          </w:p>
        </w:tc>
      </w:tr>
      <w:tr w:rsidR="00151466" w:rsidRPr="00705CB0" w14:paraId="3DE722EB" w14:textId="77777777" w:rsidTr="00151466">
        <w:tc>
          <w:tcPr>
            <w:tcW w:w="2160" w:type="dxa"/>
            <w:tcBorders>
              <w:top w:val="single" w:sz="4" w:space="0" w:color="auto"/>
              <w:left w:val="nil"/>
              <w:bottom w:val="single" w:sz="4" w:space="0" w:color="auto"/>
              <w:right w:val="nil"/>
            </w:tcBorders>
          </w:tcPr>
          <w:p w14:paraId="4D2B24A0" w14:textId="5304E48A" w:rsidR="00151466" w:rsidRPr="007A3DD2" w:rsidRDefault="00151466" w:rsidP="00420DE3">
            <w:r w:rsidRPr="007A3DD2">
              <w:t>October 1</w:t>
            </w:r>
            <w:r w:rsidR="00DB49FB" w:rsidRPr="007A3DD2">
              <w:t>0</w:t>
            </w:r>
            <w:r w:rsidRPr="007A3DD2">
              <w:rPr>
                <w:vertAlign w:val="superscript"/>
              </w:rPr>
              <w:t>th</w:t>
            </w:r>
            <w:r w:rsidRPr="007A3DD2">
              <w:t xml:space="preserve">   </w:t>
            </w:r>
          </w:p>
        </w:tc>
        <w:tc>
          <w:tcPr>
            <w:tcW w:w="6120" w:type="dxa"/>
            <w:tcBorders>
              <w:top w:val="single" w:sz="4" w:space="0" w:color="auto"/>
              <w:left w:val="nil"/>
              <w:bottom w:val="single" w:sz="4" w:space="0" w:color="auto"/>
              <w:right w:val="nil"/>
            </w:tcBorders>
          </w:tcPr>
          <w:p w14:paraId="0B28F90D" w14:textId="223FC134" w:rsidR="00151466" w:rsidRPr="007A3DD2" w:rsidRDefault="001C2613" w:rsidP="00420DE3">
            <w:r w:rsidRPr="007A3DD2">
              <w:t>800 Prone, F-Class | 3-Position 3x20</w:t>
            </w:r>
            <w:r w:rsidR="00151466" w:rsidRPr="007A3DD2">
              <w:tab/>
            </w:r>
          </w:p>
        </w:tc>
      </w:tr>
      <w:tr w:rsidR="00151466" w:rsidRPr="00705CB0" w14:paraId="75188294" w14:textId="77777777" w:rsidTr="00151466">
        <w:tc>
          <w:tcPr>
            <w:tcW w:w="2160" w:type="dxa"/>
            <w:tcBorders>
              <w:top w:val="single" w:sz="4" w:space="0" w:color="auto"/>
              <w:left w:val="nil"/>
              <w:bottom w:val="single" w:sz="4" w:space="0" w:color="auto"/>
              <w:right w:val="nil"/>
            </w:tcBorders>
            <w:shd w:val="clear" w:color="auto" w:fill="D9D9D9" w:themeFill="background1" w:themeFillShade="D9"/>
          </w:tcPr>
          <w:p w14:paraId="3BADE07B" w14:textId="6472867C" w:rsidR="00151466" w:rsidRPr="007A3DD2" w:rsidRDefault="00151466" w:rsidP="00420DE3">
            <w:pPr>
              <w:rPr>
                <w:b/>
                <w:bCs/>
              </w:rPr>
            </w:pPr>
            <w:r w:rsidRPr="007A3DD2">
              <w:rPr>
                <w:b/>
                <w:bCs/>
              </w:rPr>
              <w:t xml:space="preserve">November </w:t>
            </w:r>
            <w:r w:rsidR="00DB49FB" w:rsidRPr="007A3DD2">
              <w:rPr>
                <w:b/>
                <w:bCs/>
              </w:rPr>
              <w:t>14</w:t>
            </w:r>
            <w:r w:rsidRPr="007A3DD2">
              <w:rPr>
                <w:b/>
                <w:bCs/>
                <w:vertAlign w:val="superscript"/>
              </w:rPr>
              <w:t>th</w:t>
            </w:r>
            <w:r w:rsidRPr="007A3DD2">
              <w:rPr>
                <w:b/>
                <w:bCs/>
              </w:rPr>
              <w:t xml:space="preserve"> </w:t>
            </w:r>
            <w:r w:rsidR="002807FA" w:rsidRPr="007A3DD2">
              <w:rPr>
                <w:b/>
                <w:bCs/>
              </w:rPr>
              <w:t>&amp; 15th</w:t>
            </w:r>
            <w:r w:rsidRPr="007A3DD2">
              <w:rPr>
                <w:b/>
                <w:bCs/>
              </w:rPr>
              <w:t xml:space="preserve">   </w:t>
            </w:r>
          </w:p>
        </w:tc>
        <w:tc>
          <w:tcPr>
            <w:tcW w:w="6120" w:type="dxa"/>
            <w:tcBorders>
              <w:top w:val="single" w:sz="4" w:space="0" w:color="auto"/>
              <w:left w:val="nil"/>
              <w:bottom w:val="single" w:sz="4" w:space="0" w:color="auto"/>
              <w:right w:val="nil"/>
            </w:tcBorders>
            <w:shd w:val="clear" w:color="auto" w:fill="D9D9D9" w:themeFill="background1" w:themeFillShade="D9"/>
          </w:tcPr>
          <w:p w14:paraId="1889AF58" w14:textId="2FED8AED" w:rsidR="00151466" w:rsidRPr="007A3DD2" w:rsidRDefault="00DB05E0" w:rsidP="00420DE3">
            <w:pPr>
              <w:rPr>
                <w:b/>
                <w:bCs/>
              </w:rPr>
            </w:pPr>
            <w:r w:rsidRPr="007A3DD2">
              <w:rPr>
                <w:b/>
                <w:bCs/>
              </w:rPr>
              <w:t>NRA Regional 32</w:t>
            </w:r>
            <w:r w:rsidR="00063EF5" w:rsidRPr="007A3DD2">
              <w:rPr>
                <w:b/>
                <w:bCs/>
              </w:rPr>
              <w:t>00 Prone, F Class (CMP Sanctioned EIC)</w:t>
            </w:r>
          </w:p>
        </w:tc>
      </w:tr>
      <w:tr w:rsidR="00151466" w:rsidRPr="00705CB0" w14:paraId="002FAB64" w14:textId="77777777" w:rsidTr="00151466">
        <w:tc>
          <w:tcPr>
            <w:tcW w:w="2160" w:type="dxa"/>
            <w:tcBorders>
              <w:top w:val="single" w:sz="4" w:space="0" w:color="auto"/>
              <w:left w:val="nil"/>
              <w:bottom w:val="single" w:sz="4" w:space="0" w:color="auto"/>
              <w:right w:val="nil"/>
            </w:tcBorders>
          </w:tcPr>
          <w:p w14:paraId="4A715CAD" w14:textId="1AE823B5" w:rsidR="00151466" w:rsidRPr="007A3DD2" w:rsidRDefault="00151466" w:rsidP="00420DE3">
            <w:r w:rsidRPr="007A3DD2">
              <w:t xml:space="preserve">December </w:t>
            </w:r>
            <w:r w:rsidR="001E7E88" w:rsidRPr="007A3DD2">
              <w:t>1</w:t>
            </w:r>
            <w:r w:rsidR="00DB49FB" w:rsidRPr="007A3DD2">
              <w:t>2</w:t>
            </w:r>
            <w:r w:rsidRPr="007A3DD2">
              <w:rPr>
                <w:vertAlign w:val="superscript"/>
              </w:rPr>
              <w:t>th</w:t>
            </w:r>
            <w:r w:rsidRPr="007A3DD2">
              <w:t xml:space="preserve">   </w:t>
            </w:r>
          </w:p>
        </w:tc>
        <w:tc>
          <w:tcPr>
            <w:tcW w:w="6120" w:type="dxa"/>
            <w:tcBorders>
              <w:top w:val="single" w:sz="4" w:space="0" w:color="auto"/>
              <w:left w:val="nil"/>
              <w:bottom w:val="single" w:sz="4" w:space="0" w:color="auto"/>
              <w:right w:val="nil"/>
            </w:tcBorders>
          </w:tcPr>
          <w:p w14:paraId="79FD298B" w14:textId="7161B018" w:rsidR="00151466" w:rsidRPr="007A3DD2" w:rsidRDefault="001C2613" w:rsidP="00420DE3">
            <w:r w:rsidRPr="007A3DD2">
              <w:t>800 Prone, F-Class | 3-Position 3x20</w:t>
            </w:r>
          </w:p>
        </w:tc>
      </w:tr>
    </w:tbl>
    <w:p w14:paraId="037A9F21" w14:textId="77777777" w:rsidR="00151466" w:rsidRPr="00705CB0" w:rsidRDefault="00151466" w:rsidP="00420DE3">
      <w:pPr>
        <w:rPr>
          <w:sz w:val="22"/>
          <w:szCs w:val="22"/>
        </w:rPr>
      </w:pPr>
    </w:p>
    <w:p w14:paraId="142CF873" w14:textId="6BEB57E2" w:rsidR="0021404A" w:rsidRPr="00705CB0" w:rsidRDefault="0021404A" w:rsidP="00420DE3">
      <w:pPr>
        <w:rPr>
          <w:sz w:val="22"/>
          <w:szCs w:val="22"/>
        </w:rPr>
      </w:pPr>
      <w:r w:rsidRPr="00705CB0">
        <w:rPr>
          <w:b/>
          <w:caps/>
          <w:sz w:val="22"/>
          <w:szCs w:val="22"/>
        </w:rPr>
        <w:t>Location:</w:t>
      </w:r>
      <w:r w:rsidRPr="00705CB0">
        <w:rPr>
          <w:sz w:val="22"/>
          <w:szCs w:val="22"/>
        </w:rPr>
        <w:t xml:space="preserve"> This competition is held on the </w:t>
      </w:r>
      <w:r w:rsidRPr="00705CB0">
        <w:rPr>
          <w:i/>
          <w:iCs/>
          <w:sz w:val="22"/>
          <w:szCs w:val="22"/>
        </w:rPr>
        <w:t>Blackhawk Shooting Range.</w:t>
      </w:r>
      <w:r w:rsidRPr="00705CB0">
        <w:rPr>
          <w:sz w:val="22"/>
          <w:szCs w:val="22"/>
        </w:rPr>
        <w:t xml:space="preserve">  Exit IH-35, Shepard Rd.  As you drive on Shepard Rd. you will cross Pearsall Rd.  Keep going until you reach Jarratt Rd. Turn left and go until you reach the bend in the road.  Just past the bend is a sign for Blackhawk Range.  Turn right on the dirt road and go approximately .5 miles to the range entrance.  </w:t>
      </w:r>
    </w:p>
    <w:p w14:paraId="544DE4C3" w14:textId="77777777" w:rsidR="0021404A" w:rsidRPr="00705CB0" w:rsidRDefault="0021404A" w:rsidP="00420DE3">
      <w:pPr>
        <w:ind w:left="1440" w:hanging="1440"/>
        <w:rPr>
          <w:b/>
          <w:bCs/>
          <w:caps/>
          <w:sz w:val="22"/>
          <w:szCs w:val="22"/>
        </w:rPr>
      </w:pPr>
    </w:p>
    <w:p w14:paraId="1350A628" w14:textId="25C6072A" w:rsidR="0021404A" w:rsidRPr="00705CB0" w:rsidRDefault="0021404A" w:rsidP="00420DE3">
      <w:pPr>
        <w:ind w:left="1440" w:hanging="1440"/>
        <w:rPr>
          <w:sz w:val="22"/>
          <w:szCs w:val="22"/>
        </w:rPr>
      </w:pPr>
      <w:r w:rsidRPr="00705CB0">
        <w:rPr>
          <w:b/>
          <w:bCs/>
          <w:caps/>
          <w:sz w:val="22"/>
          <w:szCs w:val="22"/>
        </w:rPr>
        <w:t>Address</w:t>
      </w:r>
      <w:r w:rsidR="00D619E5" w:rsidRPr="00705CB0">
        <w:rPr>
          <w:b/>
          <w:bCs/>
          <w:caps/>
          <w:sz w:val="22"/>
          <w:szCs w:val="22"/>
        </w:rPr>
        <w:t xml:space="preserve">: </w:t>
      </w:r>
      <w:r w:rsidRPr="00705CB0">
        <w:rPr>
          <w:sz w:val="22"/>
          <w:szCs w:val="22"/>
        </w:rPr>
        <w:t>12135 Jarratt Road Atascosa, TX 78002</w:t>
      </w:r>
    </w:p>
    <w:p w14:paraId="5BB70C57" w14:textId="77777777" w:rsidR="00C20ED3" w:rsidRPr="00705CB0" w:rsidRDefault="00C20ED3" w:rsidP="00420DE3">
      <w:pPr>
        <w:rPr>
          <w:b/>
          <w:caps/>
          <w:sz w:val="22"/>
          <w:szCs w:val="22"/>
        </w:rPr>
      </w:pPr>
    </w:p>
    <w:p w14:paraId="02AE8E13" w14:textId="064139A1" w:rsidR="00EA5F85" w:rsidRPr="00705CB0" w:rsidRDefault="00C20ED3" w:rsidP="00420DE3">
      <w:pPr>
        <w:rPr>
          <w:sz w:val="22"/>
          <w:szCs w:val="22"/>
        </w:rPr>
      </w:pPr>
      <w:r w:rsidRPr="00705CB0">
        <w:rPr>
          <w:b/>
          <w:caps/>
          <w:sz w:val="22"/>
          <w:szCs w:val="22"/>
        </w:rPr>
        <w:t>Time:</w:t>
      </w:r>
      <w:r w:rsidRPr="00705CB0">
        <w:rPr>
          <w:sz w:val="22"/>
          <w:szCs w:val="22"/>
        </w:rPr>
        <w:t xml:space="preserve"> </w:t>
      </w:r>
      <w:r w:rsidR="00EA5F85" w:rsidRPr="00705CB0">
        <w:rPr>
          <w:sz w:val="22"/>
          <w:szCs w:val="22"/>
        </w:rPr>
        <w:t xml:space="preserve">Please arrive between 8:15 and 8:30 AM. This allows time for squadding and range setup before the </w:t>
      </w:r>
      <w:r w:rsidR="00EA5F85" w:rsidRPr="00705CB0">
        <w:rPr>
          <w:sz w:val="22"/>
          <w:szCs w:val="22"/>
          <w:u w:val="single"/>
        </w:rPr>
        <w:t>9:00 AM start</w:t>
      </w:r>
      <w:r w:rsidR="00EA5F85" w:rsidRPr="00705CB0">
        <w:rPr>
          <w:sz w:val="22"/>
          <w:szCs w:val="22"/>
        </w:rPr>
        <w:t>. Shooting will conclude around 3:00 PM. Target assignments may be predetermined.</w:t>
      </w:r>
    </w:p>
    <w:p w14:paraId="2362379A" w14:textId="77777777" w:rsidR="00EA5F85" w:rsidRPr="00705CB0" w:rsidRDefault="00EA5F85" w:rsidP="00420DE3">
      <w:pPr>
        <w:rPr>
          <w:b/>
          <w:caps/>
          <w:sz w:val="22"/>
          <w:szCs w:val="22"/>
        </w:rPr>
      </w:pPr>
    </w:p>
    <w:p w14:paraId="4EEEE03B" w14:textId="3415419B" w:rsidR="0021404A" w:rsidRPr="00705CB0" w:rsidRDefault="0021404A" w:rsidP="00420DE3">
      <w:pPr>
        <w:rPr>
          <w:sz w:val="22"/>
          <w:szCs w:val="22"/>
        </w:rPr>
      </w:pPr>
      <w:r w:rsidRPr="00705CB0">
        <w:rPr>
          <w:b/>
          <w:caps/>
          <w:sz w:val="22"/>
          <w:szCs w:val="22"/>
        </w:rPr>
        <w:t>Eligibility:</w:t>
      </w:r>
      <w:r w:rsidRPr="00705CB0">
        <w:rPr>
          <w:sz w:val="22"/>
          <w:szCs w:val="22"/>
        </w:rPr>
        <w:t xml:space="preserve">  Th</w:t>
      </w:r>
      <w:r w:rsidR="00351F26" w:rsidRPr="00705CB0">
        <w:rPr>
          <w:sz w:val="22"/>
          <w:szCs w:val="22"/>
        </w:rPr>
        <w:t xml:space="preserve">ese </w:t>
      </w:r>
      <w:r w:rsidRPr="00705CB0">
        <w:rPr>
          <w:sz w:val="22"/>
          <w:szCs w:val="22"/>
        </w:rPr>
        <w:t>event</w:t>
      </w:r>
      <w:r w:rsidR="00351F26" w:rsidRPr="00705CB0">
        <w:rPr>
          <w:sz w:val="22"/>
          <w:szCs w:val="22"/>
        </w:rPr>
        <w:t>s are</w:t>
      </w:r>
      <w:r w:rsidRPr="00705CB0">
        <w:rPr>
          <w:sz w:val="22"/>
          <w:szCs w:val="22"/>
        </w:rPr>
        <w:t xml:space="preserve"> open to all members and non-members of the NRA, CMP</w:t>
      </w:r>
      <w:r w:rsidR="00EF6226" w:rsidRPr="00705CB0">
        <w:rPr>
          <w:sz w:val="22"/>
          <w:szCs w:val="22"/>
        </w:rPr>
        <w:t>,</w:t>
      </w:r>
      <w:r w:rsidRPr="00705CB0">
        <w:rPr>
          <w:sz w:val="22"/>
          <w:szCs w:val="22"/>
        </w:rPr>
        <w:t xml:space="preserve"> and STMTC.  </w:t>
      </w:r>
    </w:p>
    <w:p w14:paraId="6E9F686E" w14:textId="77777777" w:rsidR="00C7597B" w:rsidRPr="00705CB0" w:rsidRDefault="00C7597B" w:rsidP="00420DE3">
      <w:pPr>
        <w:rPr>
          <w:b/>
          <w:caps/>
          <w:sz w:val="22"/>
          <w:szCs w:val="22"/>
        </w:rPr>
      </w:pPr>
    </w:p>
    <w:p w14:paraId="67777963" w14:textId="3C31A7C6" w:rsidR="00CE7F04" w:rsidRPr="00705CB0" w:rsidRDefault="00C7597B" w:rsidP="00420DE3">
      <w:pPr>
        <w:rPr>
          <w:sz w:val="22"/>
          <w:szCs w:val="22"/>
        </w:rPr>
      </w:pPr>
      <w:r w:rsidRPr="00705CB0">
        <w:rPr>
          <w:b/>
          <w:caps/>
          <w:sz w:val="22"/>
          <w:szCs w:val="22"/>
        </w:rPr>
        <w:t>Registration</w:t>
      </w:r>
      <w:r w:rsidR="0025134E" w:rsidRPr="00705CB0">
        <w:rPr>
          <w:b/>
          <w:caps/>
          <w:sz w:val="22"/>
          <w:szCs w:val="22"/>
        </w:rPr>
        <w:t xml:space="preserve">:  </w:t>
      </w:r>
      <w:r w:rsidR="0025134E" w:rsidRPr="00705CB0">
        <w:rPr>
          <w:sz w:val="22"/>
          <w:szCs w:val="22"/>
        </w:rPr>
        <w:t>Due to the limited number of 15 firing points, the range capacity is 30 competitors, who will be divided into 2 relays. Walk-on entries may be permitted if the range has available space. We highly encourage advance registration; please contact the match director for current registration information.</w:t>
      </w:r>
    </w:p>
    <w:p w14:paraId="4C36F7E4" w14:textId="77777777" w:rsidR="00CE7F04" w:rsidRPr="00705CB0" w:rsidRDefault="00CE7F04" w:rsidP="00420DE3">
      <w:pPr>
        <w:rPr>
          <w:sz w:val="22"/>
          <w:szCs w:val="22"/>
        </w:rPr>
      </w:pPr>
    </w:p>
    <w:p w14:paraId="01AA99DF" w14:textId="5ECE7C21" w:rsidR="00CE7F04" w:rsidRPr="00705CB0" w:rsidRDefault="00CE7F04" w:rsidP="00420DE3">
      <w:pPr>
        <w:rPr>
          <w:sz w:val="22"/>
          <w:szCs w:val="22"/>
        </w:rPr>
      </w:pPr>
      <w:r w:rsidRPr="00705CB0">
        <w:rPr>
          <w:b/>
          <w:caps/>
          <w:sz w:val="22"/>
          <w:szCs w:val="22"/>
        </w:rPr>
        <w:t>Entry Fees:</w:t>
      </w:r>
      <w:r w:rsidRPr="00705CB0">
        <w:rPr>
          <w:sz w:val="22"/>
          <w:szCs w:val="22"/>
        </w:rPr>
        <w:t xml:space="preserve">  </w:t>
      </w:r>
      <w:r w:rsidR="00DD1912" w:rsidRPr="00705CB0">
        <w:rPr>
          <w:sz w:val="22"/>
          <w:szCs w:val="22"/>
        </w:rPr>
        <w:t>Entry fee varies. Contact the Match Director for the current price. Expect to pay $20-$</w:t>
      </w:r>
      <w:r w:rsidR="00DB66AD" w:rsidRPr="00705CB0">
        <w:rPr>
          <w:sz w:val="22"/>
          <w:szCs w:val="22"/>
        </w:rPr>
        <w:t>30</w:t>
      </w:r>
      <w:r w:rsidR="00DD1912" w:rsidRPr="00705CB0">
        <w:rPr>
          <w:sz w:val="22"/>
          <w:szCs w:val="22"/>
        </w:rPr>
        <w:t xml:space="preserve"> per day. Target costs are included. Entry fees are refundable if a competitor cannot attend.</w:t>
      </w:r>
    </w:p>
    <w:p w14:paraId="2B9DE18F" w14:textId="08DDBC2F" w:rsidR="00C7597B" w:rsidRPr="00705CB0" w:rsidRDefault="00C7597B" w:rsidP="00420DE3">
      <w:pPr>
        <w:rPr>
          <w:sz w:val="22"/>
          <w:szCs w:val="22"/>
        </w:rPr>
      </w:pPr>
    </w:p>
    <w:p w14:paraId="27015DA3" w14:textId="52333659" w:rsidR="00CE7F04" w:rsidRPr="00705CB0" w:rsidRDefault="00CE7F04" w:rsidP="00420DE3">
      <w:pPr>
        <w:rPr>
          <w:sz w:val="22"/>
          <w:szCs w:val="22"/>
        </w:rPr>
      </w:pPr>
      <w:r w:rsidRPr="00705CB0">
        <w:rPr>
          <w:b/>
          <w:caps/>
          <w:sz w:val="22"/>
          <w:szCs w:val="22"/>
        </w:rPr>
        <w:t>Classification:</w:t>
      </w:r>
      <w:r w:rsidRPr="00705CB0">
        <w:rPr>
          <w:sz w:val="22"/>
          <w:szCs w:val="22"/>
        </w:rPr>
        <w:t xml:space="preserve">  Classification will be used.  </w:t>
      </w:r>
      <w:r w:rsidR="001B1DCC" w:rsidRPr="00705CB0">
        <w:rPr>
          <w:sz w:val="22"/>
          <w:szCs w:val="22"/>
        </w:rPr>
        <w:t>C</w:t>
      </w:r>
      <w:r w:rsidRPr="00705CB0">
        <w:rPr>
          <w:sz w:val="22"/>
          <w:szCs w:val="22"/>
        </w:rPr>
        <w:t xml:space="preserve">ompetitors will use their assigned classification. Those without a current Smallbore classification may compete in the </w:t>
      </w:r>
      <w:r w:rsidR="00837589" w:rsidRPr="00705CB0">
        <w:rPr>
          <w:sz w:val="22"/>
          <w:szCs w:val="22"/>
        </w:rPr>
        <w:t>Master U</w:t>
      </w:r>
      <w:r w:rsidRPr="00705CB0">
        <w:rPr>
          <w:sz w:val="22"/>
          <w:szCs w:val="22"/>
        </w:rPr>
        <w:t xml:space="preserve">nclassified classification.  </w:t>
      </w:r>
    </w:p>
    <w:p w14:paraId="29EE5973" w14:textId="77777777" w:rsidR="00CE7F04" w:rsidRPr="00705CB0" w:rsidRDefault="00CE7F04" w:rsidP="00420DE3">
      <w:pPr>
        <w:rPr>
          <w:sz w:val="22"/>
          <w:szCs w:val="22"/>
        </w:rPr>
      </w:pPr>
    </w:p>
    <w:p w14:paraId="7033D882" w14:textId="5D150C93" w:rsidR="00C20ED3" w:rsidRPr="00705CB0" w:rsidRDefault="00C20ED3" w:rsidP="00420DE3">
      <w:pPr>
        <w:rPr>
          <w:sz w:val="22"/>
          <w:szCs w:val="22"/>
        </w:rPr>
      </w:pPr>
      <w:r w:rsidRPr="00705CB0">
        <w:rPr>
          <w:b/>
          <w:caps/>
          <w:sz w:val="22"/>
          <w:szCs w:val="22"/>
        </w:rPr>
        <w:t>Challenge Fees:</w:t>
      </w:r>
      <w:r w:rsidRPr="00705CB0">
        <w:rPr>
          <w:sz w:val="22"/>
          <w:szCs w:val="22"/>
        </w:rPr>
        <w:t xml:space="preserve">  $1.00 will be charged for each challenge of your own match score.  $3.00 for another competitors’ match score.  Fee returned for sustained challenges.  Challenge slips provided by STAT official.</w:t>
      </w:r>
    </w:p>
    <w:p w14:paraId="58D40D06" w14:textId="77777777" w:rsidR="00B04DB6" w:rsidRPr="00705CB0" w:rsidRDefault="00B04DB6" w:rsidP="00420DE3">
      <w:pPr>
        <w:rPr>
          <w:sz w:val="22"/>
          <w:szCs w:val="22"/>
        </w:rPr>
      </w:pPr>
    </w:p>
    <w:p w14:paraId="79874B39" w14:textId="52404740" w:rsidR="00451A04" w:rsidRPr="00705CB0" w:rsidRDefault="00451A04" w:rsidP="00420DE3">
      <w:pPr>
        <w:rPr>
          <w:b/>
          <w:bCs/>
          <w:sz w:val="22"/>
          <w:szCs w:val="22"/>
        </w:rPr>
      </w:pPr>
      <w:r w:rsidRPr="00705CB0">
        <w:rPr>
          <w:b/>
          <w:bCs/>
          <w:sz w:val="22"/>
          <w:szCs w:val="22"/>
        </w:rPr>
        <w:t>TARGETS:</w:t>
      </w:r>
      <w:r w:rsidR="00CB2455" w:rsidRPr="00705CB0">
        <w:rPr>
          <w:sz w:val="22"/>
          <w:szCs w:val="22"/>
        </w:rPr>
        <w:t xml:space="preserve"> </w:t>
      </w:r>
      <w:r w:rsidRPr="00705CB0">
        <w:rPr>
          <w:sz w:val="22"/>
          <w:szCs w:val="22"/>
        </w:rPr>
        <w:t xml:space="preserve">Competitors will hang their own target </w:t>
      </w:r>
      <w:r w:rsidRPr="00705CB0">
        <w:rPr>
          <w:sz w:val="22"/>
          <w:szCs w:val="22"/>
          <w:u w:val="single"/>
        </w:rPr>
        <w:t>and retrieve the target to their right</w:t>
      </w:r>
      <w:r w:rsidRPr="00705CB0">
        <w:rPr>
          <w:sz w:val="22"/>
          <w:szCs w:val="22"/>
        </w:rPr>
        <w:t xml:space="preserve">.  Competitors may not handle their own fired targets anywhere at any time.  </w:t>
      </w:r>
      <w:r w:rsidRPr="00705CB0">
        <w:rPr>
          <w:b/>
          <w:sz w:val="22"/>
          <w:szCs w:val="22"/>
        </w:rPr>
        <w:t>DO NOT SCORE YOUR TARGETS</w:t>
      </w:r>
      <w:r w:rsidRPr="00705CB0">
        <w:rPr>
          <w:sz w:val="22"/>
          <w:szCs w:val="22"/>
        </w:rPr>
        <w:t>.</w:t>
      </w:r>
    </w:p>
    <w:p w14:paraId="681BB8C0" w14:textId="59E3ABC7" w:rsidR="00C20ED3" w:rsidRPr="00705CB0" w:rsidRDefault="00C20ED3" w:rsidP="00420DE3">
      <w:pPr>
        <w:pStyle w:val="ListParagraph"/>
        <w:numPr>
          <w:ilvl w:val="0"/>
          <w:numId w:val="2"/>
        </w:numPr>
        <w:rPr>
          <w:sz w:val="22"/>
          <w:szCs w:val="22"/>
        </w:rPr>
      </w:pPr>
      <w:r w:rsidRPr="00705CB0">
        <w:rPr>
          <w:b/>
          <w:caps/>
          <w:sz w:val="22"/>
          <w:szCs w:val="22"/>
        </w:rPr>
        <w:t>Prone; Targets:</w:t>
      </w:r>
      <w:r w:rsidRPr="00705CB0">
        <w:rPr>
          <w:sz w:val="22"/>
          <w:szCs w:val="22"/>
        </w:rPr>
        <w:t xml:space="preserve"> </w:t>
      </w:r>
      <w:r w:rsidR="00451A04" w:rsidRPr="00705CB0">
        <w:rPr>
          <w:sz w:val="22"/>
          <w:szCs w:val="22"/>
        </w:rPr>
        <w:t xml:space="preserve"> </w:t>
      </w:r>
      <w:r w:rsidRPr="00705CB0">
        <w:rPr>
          <w:sz w:val="22"/>
          <w:szCs w:val="22"/>
        </w:rPr>
        <w:t>Conventional targets A23, A-25, and A-27 will be used</w:t>
      </w:r>
    </w:p>
    <w:p w14:paraId="3D4392A7" w14:textId="341E0CED" w:rsidR="00B04DB6" w:rsidRPr="00705CB0" w:rsidRDefault="00B04DB6" w:rsidP="00420DE3">
      <w:pPr>
        <w:pStyle w:val="ListParagraph"/>
        <w:numPr>
          <w:ilvl w:val="0"/>
          <w:numId w:val="2"/>
        </w:numPr>
        <w:rPr>
          <w:sz w:val="22"/>
          <w:szCs w:val="22"/>
        </w:rPr>
      </w:pPr>
      <w:r w:rsidRPr="00705CB0">
        <w:rPr>
          <w:b/>
          <w:caps/>
          <w:sz w:val="22"/>
          <w:szCs w:val="22"/>
        </w:rPr>
        <w:t>3-Position; Targets:</w:t>
      </w:r>
      <w:r w:rsidRPr="00705CB0">
        <w:rPr>
          <w:sz w:val="22"/>
          <w:szCs w:val="22"/>
        </w:rPr>
        <w:t xml:space="preserve">  Metric target A51</w:t>
      </w:r>
      <w:r w:rsidR="00133B9C" w:rsidRPr="00705CB0">
        <w:rPr>
          <w:sz w:val="22"/>
          <w:szCs w:val="22"/>
        </w:rPr>
        <w:t xml:space="preserve"> </w:t>
      </w:r>
      <w:r w:rsidRPr="00705CB0">
        <w:rPr>
          <w:sz w:val="22"/>
          <w:szCs w:val="22"/>
        </w:rPr>
        <w:t xml:space="preserve">will be used.  </w:t>
      </w:r>
    </w:p>
    <w:p w14:paraId="0A8B9258" w14:textId="31FD34E9" w:rsidR="00C20ED3" w:rsidRPr="00705CB0" w:rsidRDefault="00C20ED3" w:rsidP="00420DE3">
      <w:pPr>
        <w:pStyle w:val="ListParagraph"/>
        <w:numPr>
          <w:ilvl w:val="0"/>
          <w:numId w:val="2"/>
        </w:numPr>
        <w:rPr>
          <w:sz w:val="22"/>
          <w:szCs w:val="22"/>
        </w:rPr>
      </w:pPr>
      <w:r w:rsidRPr="00705CB0">
        <w:rPr>
          <w:b/>
          <w:caps/>
          <w:sz w:val="22"/>
          <w:szCs w:val="22"/>
        </w:rPr>
        <w:t>F-CLASS; TARGETS:</w:t>
      </w:r>
      <w:r w:rsidRPr="00705CB0">
        <w:rPr>
          <w:sz w:val="22"/>
          <w:szCs w:val="22"/>
        </w:rPr>
        <w:t xml:space="preserve"> </w:t>
      </w:r>
      <w:r w:rsidR="00451A04" w:rsidRPr="00705CB0">
        <w:rPr>
          <w:sz w:val="22"/>
          <w:szCs w:val="22"/>
        </w:rPr>
        <w:t xml:space="preserve"> </w:t>
      </w:r>
      <w:r w:rsidRPr="00705CB0">
        <w:rPr>
          <w:sz w:val="22"/>
          <w:szCs w:val="22"/>
        </w:rPr>
        <w:t xml:space="preserve">Metric targets A51, and A33 will be used.  </w:t>
      </w:r>
    </w:p>
    <w:p w14:paraId="7E1E27DC" w14:textId="77777777" w:rsidR="00C20ED3" w:rsidRPr="00705CB0" w:rsidRDefault="00C20ED3" w:rsidP="00420DE3">
      <w:pPr>
        <w:rPr>
          <w:b/>
          <w:bCs/>
          <w:caps/>
          <w:sz w:val="22"/>
          <w:szCs w:val="22"/>
        </w:rPr>
      </w:pPr>
    </w:p>
    <w:p w14:paraId="33BEE677" w14:textId="5F6F1958" w:rsidR="00CE7F04" w:rsidRPr="00705CB0" w:rsidRDefault="00086280" w:rsidP="00420DE3">
      <w:pPr>
        <w:rPr>
          <w:rFonts w:eastAsia="ArialMT"/>
          <w:color w:val="000000" w:themeColor="text1"/>
          <w:sz w:val="22"/>
          <w:szCs w:val="22"/>
        </w:rPr>
      </w:pPr>
      <w:r w:rsidRPr="00705CB0">
        <w:rPr>
          <w:b/>
          <w:bCs/>
          <w:caps/>
          <w:sz w:val="22"/>
          <w:szCs w:val="22"/>
        </w:rPr>
        <w:t>CMP Rule</w:t>
      </w:r>
      <w:r w:rsidRPr="00705CB0">
        <w:rPr>
          <w:b/>
          <w:bCs/>
          <w:sz w:val="22"/>
          <w:szCs w:val="22"/>
        </w:rPr>
        <w:t xml:space="preserve"> </w:t>
      </w:r>
      <w:r w:rsidR="00443887" w:rsidRPr="00705CB0">
        <w:rPr>
          <w:b/>
          <w:bCs/>
          <w:sz w:val="22"/>
          <w:szCs w:val="22"/>
        </w:rPr>
        <w:t>11.1</w:t>
      </w:r>
      <w:r w:rsidRPr="00705CB0">
        <w:rPr>
          <w:b/>
          <w:bCs/>
          <w:sz w:val="22"/>
          <w:szCs w:val="22"/>
        </w:rPr>
        <w:t>.</w:t>
      </w:r>
      <w:r w:rsidR="00443887" w:rsidRPr="00705CB0">
        <w:rPr>
          <w:b/>
          <w:bCs/>
          <w:sz w:val="22"/>
          <w:szCs w:val="22"/>
        </w:rPr>
        <w:t xml:space="preserve"> ACHIEVEMENT PINS:</w:t>
      </w:r>
      <w:r w:rsidR="00443887" w:rsidRPr="00705CB0">
        <w:rPr>
          <w:sz w:val="22"/>
          <w:szCs w:val="22"/>
        </w:rPr>
        <w:t xml:space="preserve">  </w:t>
      </w:r>
      <w:r w:rsidR="00443887" w:rsidRPr="00705CB0">
        <w:rPr>
          <w:rFonts w:eastAsia="ArialMT"/>
          <w:sz w:val="22"/>
          <w:szCs w:val="22"/>
        </w:rPr>
        <w:t xml:space="preserve">To provide incentives for Smallbore </w:t>
      </w:r>
      <w:r w:rsidR="0065526D" w:rsidRPr="00705CB0">
        <w:rPr>
          <w:rFonts w:eastAsia="ArialMT"/>
          <w:sz w:val="22"/>
          <w:szCs w:val="22"/>
        </w:rPr>
        <w:t xml:space="preserve">competitors </w:t>
      </w:r>
      <w:r w:rsidR="00443887" w:rsidRPr="00705CB0">
        <w:rPr>
          <w:rFonts w:eastAsia="ArialMT"/>
          <w:color w:val="000000" w:themeColor="text1"/>
          <w:sz w:val="22"/>
          <w:szCs w:val="22"/>
        </w:rPr>
        <w:t>to participate and improve</w:t>
      </w:r>
      <w:r w:rsidR="0065526D" w:rsidRPr="00705CB0">
        <w:rPr>
          <w:rFonts w:eastAsia="ArialMT"/>
          <w:color w:val="000000" w:themeColor="text1"/>
          <w:sz w:val="22"/>
          <w:szCs w:val="22"/>
        </w:rPr>
        <w:t xml:space="preserve">.  CMP Sanctioned events will award </w:t>
      </w:r>
      <w:r w:rsidR="00443887" w:rsidRPr="00705CB0">
        <w:rPr>
          <w:rFonts w:eastAsia="ArialMT"/>
          <w:color w:val="000000" w:themeColor="text1"/>
          <w:sz w:val="22"/>
          <w:szCs w:val="22"/>
        </w:rPr>
        <w:t>Achievement Pins for competitors who equal or exceed established Achievement Award cut-scores.</w:t>
      </w:r>
    </w:p>
    <w:p w14:paraId="0C4EA832" w14:textId="77777777" w:rsidR="007C5E1A" w:rsidRPr="00705CB0" w:rsidRDefault="007C5E1A" w:rsidP="00420DE3">
      <w:pPr>
        <w:rPr>
          <w:color w:val="000000" w:themeColor="text1"/>
          <w:sz w:val="22"/>
          <w:szCs w:val="22"/>
        </w:rPr>
      </w:pPr>
    </w:p>
    <w:tbl>
      <w:tblPr>
        <w:tblStyle w:val="TableGrid"/>
        <w:tblW w:w="0" w:type="auto"/>
        <w:tblLook w:val="04A0" w:firstRow="1" w:lastRow="0" w:firstColumn="1" w:lastColumn="0" w:noHBand="0" w:noVBand="1"/>
      </w:tblPr>
      <w:tblGrid>
        <w:gridCol w:w="4405"/>
        <w:gridCol w:w="1530"/>
        <w:gridCol w:w="1440"/>
        <w:gridCol w:w="1805"/>
      </w:tblGrid>
      <w:tr w:rsidR="007C5E1A" w:rsidRPr="00705CB0" w14:paraId="6A335065" w14:textId="77777777" w:rsidTr="0089473F">
        <w:tc>
          <w:tcPr>
            <w:tcW w:w="9180" w:type="dxa"/>
            <w:gridSpan w:val="4"/>
            <w:shd w:val="clear" w:color="auto" w:fill="000000" w:themeFill="text1"/>
          </w:tcPr>
          <w:p w14:paraId="23D980EA" w14:textId="4ECD16E4" w:rsidR="009A01F0" w:rsidRPr="00705CB0" w:rsidRDefault="007C5E1A" w:rsidP="00420DE3">
            <w:pPr>
              <w:rPr>
                <w:color w:val="000000" w:themeColor="text1"/>
                <w:sz w:val="22"/>
                <w:szCs w:val="22"/>
              </w:rPr>
            </w:pPr>
            <w:r w:rsidRPr="00705CB0">
              <w:rPr>
                <w:b/>
                <w:bCs/>
                <w:color w:val="FFFFFF" w:themeColor="background1"/>
                <w:sz w:val="22"/>
                <w:szCs w:val="22"/>
              </w:rPr>
              <w:t>TABLE 6 – CMP SMALLBORE RIFLE ACHIEVEMENT AWARD CUT SCORES</w:t>
            </w:r>
          </w:p>
        </w:tc>
      </w:tr>
      <w:tr w:rsidR="007C5E1A" w:rsidRPr="00705CB0" w14:paraId="54E8F9ED" w14:textId="77777777" w:rsidTr="007C5E1A">
        <w:tc>
          <w:tcPr>
            <w:tcW w:w="4405" w:type="dxa"/>
          </w:tcPr>
          <w:p w14:paraId="4DA02628" w14:textId="7DA05061" w:rsidR="009A01F0" w:rsidRPr="00705CB0" w:rsidRDefault="009A01F0" w:rsidP="00420DE3">
            <w:pPr>
              <w:autoSpaceDE w:val="0"/>
              <w:autoSpaceDN w:val="0"/>
              <w:adjustRightInd w:val="0"/>
              <w:rPr>
                <w:b/>
                <w:bCs/>
                <w:color w:val="000000" w:themeColor="text1"/>
                <w:sz w:val="22"/>
                <w:szCs w:val="22"/>
              </w:rPr>
            </w:pPr>
            <w:r w:rsidRPr="00705CB0">
              <w:rPr>
                <w:b/>
                <w:bCs/>
                <w:color w:val="000000" w:themeColor="text1"/>
                <w:sz w:val="22"/>
                <w:szCs w:val="22"/>
              </w:rPr>
              <w:t xml:space="preserve">Event </w:t>
            </w:r>
          </w:p>
        </w:tc>
        <w:tc>
          <w:tcPr>
            <w:tcW w:w="1530" w:type="dxa"/>
          </w:tcPr>
          <w:p w14:paraId="13E4A2DA" w14:textId="4EDD1434" w:rsidR="009A01F0" w:rsidRPr="00705CB0" w:rsidRDefault="009A01F0" w:rsidP="00420DE3">
            <w:pPr>
              <w:rPr>
                <w:color w:val="000000" w:themeColor="text1"/>
                <w:sz w:val="22"/>
                <w:szCs w:val="22"/>
              </w:rPr>
            </w:pPr>
            <w:r w:rsidRPr="00705CB0">
              <w:rPr>
                <w:b/>
                <w:bCs/>
                <w:color w:val="000000" w:themeColor="text1"/>
                <w:sz w:val="22"/>
                <w:szCs w:val="22"/>
              </w:rPr>
              <w:t>Gold</w:t>
            </w:r>
            <w:r w:rsidR="00052C70" w:rsidRPr="00705CB0">
              <w:rPr>
                <w:b/>
                <w:bCs/>
                <w:color w:val="000000" w:themeColor="text1"/>
                <w:sz w:val="22"/>
                <w:szCs w:val="22"/>
              </w:rPr>
              <w:t xml:space="preserve"> Pin</w:t>
            </w:r>
          </w:p>
        </w:tc>
        <w:tc>
          <w:tcPr>
            <w:tcW w:w="1440" w:type="dxa"/>
          </w:tcPr>
          <w:p w14:paraId="45484243" w14:textId="4222B527" w:rsidR="009A01F0" w:rsidRPr="00705CB0" w:rsidRDefault="009A01F0" w:rsidP="00420DE3">
            <w:pPr>
              <w:rPr>
                <w:color w:val="000000" w:themeColor="text1"/>
                <w:sz w:val="22"/>
                <w:szCs w:val="22"/>
              </w:rPr>
            </w:pPr>
            <w:r w:rsidRPr="00705CB0">
              <w:rPr>
                <w:b/>
                <w:bCs/>
                <w:color w:val="000000" w:themeColor="text1"/>
                <w:sz w:val="22"/>
                <w:szCs w:val="22"/>
              </w:rPr>
              <w:t>Silver</w:t>
            </w:r>
            <w:r w:rsidR="00052C70" w:rsidRPr="00705CB0">
              <w:rPr>
                <w:b/>
                <w:bCs/>
                <w:color w:val="000000" w:themeColor="text1"/>
                <w:sz w:val="22"/>
                <w:szCs w:val="22"/>
              </w:rPr>
              <w:t xml:space="preserve"> Pin</w:t>
            </w:r>
          </w:p>
        </w:tc>
        <w:tc>
          <w:tcPr>
            <w:tcW w:w="1805" w:type="dxa"/>
          </w:tcPr>
          <w:p w14:paraId="0022DF9B" w14:textId="2C997A82" w:rsidR="009A01F0" w:rsidRPr="00705CB0" w:rsidRDefault="009A01F0" w:rsidP="00420DE3">
            <w:pPr>
              <w:rPr>
                <w:color w:val="000000" w:themeColor="text1"/>
                <w:sz w:val="22"/>
                <w:szCs w:val="22"/>
              </w:rPr>
            </w:pPr>
            <w:r w:rsidRPr="00705CB0">
              <w:rPr>
                <w:b/>
                <w:bCs/>
                <w:color w:val="000000" w:themeColor="text1"/>
                <w:sz w:val="22"/>
                <w:szCs w:val="22"/>
              </w:rPr>
              <w:t>Bronze</w:t>
            </w:r>
            <w:r w:rsidR="00873469" w:rsidRPr="00705CB0">
              <w:rPr>
                <w:b/>
                <w:bCs/>
                <w:color w:val="000000" w:themeColor="text1"/>
                <w:sz w:val="22"/>
                <w:szCs w:val="22"/>
              </w:rPr>
              <w:t xml:space="preserve"> Pin</w:t>
            </w:r>
          </w:p>
        </w:tc>
      </w:tr>
      <w:tr w:rsidR="00AD7EE0" w:rsidRPr="00705CB0" w14:paraId="7EEF5578" w14:textId="77777777" w:rsidTr="007C5E1A">
        <w:tc>
          <w:tcPr>
            <w:tcW w:w="4405" w:type="dxa"/>
          </w:tcPr>
          <w:p w14:paraId="5429296B" w14:textId="31E29B5D" w:rsidR="00AD7EE0" w:rsidRPr="00705CB0" w:rsidRDefault="00AD7EE0" w:rsidP="00420DE3">
            <w:pPr>
              <w:rPr>
                <w:rFonts w:eastAsia="ArialMT"/>
                <w:color w:val="000000" w:themeColor="text1"/>
                <w:sz w:val="22"/>
                <w:szCs w:val="22"/>
              </w:rPr>
            </w:pPr>
            <w:r w:rsidRPr="00705CB0">
              <w:rPr>
                <w:rFonts w:eastAsia="ArialMT"/>
                <w:color w:val="000000" w:themeColor="text1"/>
                <w:sz w:val="22"/>
                <w:szCs w:val="22"/>
              </w:rPr>
              <w:t>Smallbore Rifle 3-Position</w:t>
            </w:r>
          </w:p>
        </w:tc>
        <w:tc>
          <w:tcPr>
            <w:tcW w:w="1530" w:type="dxa"/>
          </w:tcPr>
          <w:p w14:paraId="4A26E096" w14:textId="20E63D2E" w:rsidR="00AD7EE0" w:rsidRPr="00705CB0" w:rsidRDefault="00AD7EE0" w:rsidP="00420DE3">
            <w:pPr>
              <w:rPr>
                <w:color w:val="000000" w:themeColor="text1"/>
                <w:sz w:val="22"/>
                <w:szCs w:val="22"/>
              </w:rPr>
            </w:pPr>
            <w:r w:rsidRPr="00705CB0">
              <w:rPr>
                <w:color w:val="000000" w:themeColor="text1"/>
                <w:sz w:val="22"/>
                <w:szCs w:val="22"/>
              </w:rPr>
              <w:t>572+</w:t>
            </w:r>
          </w:p>
        </w:tc>
        <w:tc>
          <w:tcPr>
            <w:tcW w:w="1440" w:type="dxa"/>
          </w:tcPr>
          <w:p w14:paraId="5082B7DA" w14:textId="3C05BC9D" w:rsidR="00AD7EE0" w:rsidRPr="00705CB0" w:rsidRDefault="00294BB9" w:rsidP="00420DE3">
            <w:pPr>
              <w:rPr>
                <w:color w:val="000000" w:themeColor="text1"/>
                <w:sz w:val="22"/>
                <w:szCs w:val="22"/>
              </w:rPr>
            </w:pPr>
            <w:r w:rsidRPr="00705CB0">
              <w:rPr>
                <w:color w:val="000000" w:themeColor="text1"/>
                <w:sz w:val="22"/>
                <w:szCs w:val="22"/>
              </w:rPr>
              <w:t>558+</w:t>
            </w:r>
          </w:p>
        </w:tc>
        <w:tc>
          <w:tcPr>
            <w:tcW w:w="1805" w:type="dxa"/>
          </w:tcPr>
          <w:p w14:paraId="41D40C79" w14:textId="3832D8DD" w:rsidR="00AD7EE0" w:rsidRPr="00705CB0" w:rsidRDefault="00294BB9" w:rsidP="00420DE3">
            <w:pPr>
              <w:rPr>
                <w:color w:val="000000" w:themeColor="text1"/>
                <w:sz w:val="22"/>
                <w:szCs w:val="22"/>
              </w:rPr>
            </w:pPr>
            <w:r w:rsidRPr="00705CB0">
              <w:rPr>
                <w:color w:val="000000" w:themeColor="text1"/>
                <w:sz w:val="22"/>
                <w:szCs w:val="22"/>
              </w:rPr>
              <w:t>545+</w:t>
            </w:r>
          </w:p>
        </w:tc>
      </w:tr>
      <w:tr w:rsidR="007C5E1A" w:rsidRPr="00705CB0" w14:paraId="356C84AE" w14:textId="77777777" w:rsidTr="007C5E1A">
        <w:tc>
          <w:tcPr>
            <w:tcW w:w="4405" w:type="dxa"/>
          </w:tcPr>
          <w:p w14:paraId="08C8D0EB" w14:textId="1A6F64A5" w:rsidR="009A01F0" w:rsidRPr="00705CB0" w:rsidRDefault="009A01F0" w:rsidP="00420DE3">
            <w:pPr>
              <w:rPr>
                <w:color w:val="000000" w:themeColor="text1"/>
                <w:sz w:val="22"/>
                <w:szCs w:val="22"/>
              </w:rPr>
            </w:pPr>
            <w:r w:rsidRPr="00705CB0">
              <w:rPr>
                <w:rFonts w:eastAsia="ArialMT"/>
                <w:color w:val="000000" w:themeColor="text1"/>
                <w:sz w:val="22"/>
                <w:szCs w:val="22"/>
              </w:rPr>
              <w:t>Smallbore Rifle Prone</w:t>
            </w:r>
            <w:r w:rsidR="00BF093F" w:rsidRPr="00705CB0">
              <w:rPr>
                <w:rFonts w:eastAsia="ArialMT"/>
                <w:color w:val="000000" w:themeColor="text1"/>
                <w:sz w:val="22"/>
                <w:szCs w:val="22"/>
              </w:rPr>
              <w:t xml:space="preserve"> 1600</w:t>
            </w:r>
          </w:p>
        </w:tc>
        <w:tc>
          <w:tcPr>
            <w:tcW w:w="1530" w:type="dxa"/>
          </w:tcPr>
          <w:p w14:paraId="1B0384BD" w14:textId="3C2A08FF" w:rsidR="009A01F0" w:rsidRPr="00705CB0" w:rsidRDefault="009A01F0" w:rsidP="00420DE3">
            <w:pPr>
              <w:rPr>
                <w:color w:val="000000" w:themeColor="text1"/>
                <w:sz w:val="22"/>
                <w:szCs w:val="22"/>
              </w:rPr>
            </w:pPr>
            <w:r w:rsidRPr="00705CB0">
              <w:rPr>
                <w:color w:val="000000" w:themeColor="text1"/>
                <w:sz w:val="22"/>
                <w:szCs w:val="22"/>
              </w:rPr>
              <w:t>1592+</w:t>
            </w:r>
          </w:p>
        </w:tc>
        <w:tc>
          <w:tcPr>
            <w:tcW w:w="1440" w:type="dxa"/>
          </w:tcPr>
          <w:p w14:paraId="7108176E" w14:textId="6E818EC8" w:rsidR="009A01F0" w:rsidRPr="00705CB0" w:rsidRDefault="009A01F0" w:rsidP="00420DE3">
            <w:pPr>
              <w:rPr>
                <w:color w:val="000000" w:themeColor="text1"/>
                <w:sz w:val="22"/>
                <w:szCs w:val="22"/>
              </w:rPr>
            </w:pPr>
            <w:r w:rsidRPr="00705CB0">
              <w:rPr>
                <w:color w:val="000000" w:themeColor="text1"/>
                <w:sz w:val="22"/>
                <w:szCs w:val="22"/>
              </w:rPr>
              <w:t>1588-1591</w:t>
            </w:r>
          </w:p>
        </w:tc>
        <w:tc>
          <w:tcPr>
            <w:tcW w:w="1805" w:type="dxa"/>
          </w:tcPr>
          <w:p w14:paraId="5E77CFD2" w14:textId="3E129100" w:rsidR="009A01F0" w:rsidRPr="00705CB0" w:rsidRDefault="009A01F0" w:rsidP="00420DE3">
            <w:pPr>
              <w:rPr>
                <w:color w:val="000000" w:themeColor="text1"/>
                <w:sz w:val="22"/>
                <w:szCs w:val="22"/>
              </w:rPr>
            </w:pPr>
            <w:r w:rsidRPr="00705CB0">
              <w:rPr>
                <w:color w:val="000000" w:themeColor="text1"/>
                <w:sz w:val="22"/>
                <w:szCs w:val="22"/>
              </w:rPr>
              <w:t>1578-1587</w:t>
            </w:r>
          </w:p>
        </w:tc>
      </w:tr>
    </w:tbl>
    <w:p w14:paraId="12C823B5" w14:textId="77777777" w:rsidR="00420DE3" w:rsidRPr="00705CB0" w:rsidRDefault="00420DE3" w:rsidP="00420DE3">
      <w:pPr>
        <w:pStyle w:val="ydpbb513645msonormal"/>
        <w:shd w:val="clear" w:color="auto" w:fill="FFFFFF"/>
        <w:spacing w:before="0" w:beforeAutospacing="0" w:after="0" w:afterAutospacing="0"/>
        <w:rPr>
          <w:b/>
          <w:bCs/>
          <w:sz w:val="22"/>
          <w:szCs w:val="22"/>
        </w:rPr>
      </w:pPr>
    </w:p>
    <w:p w14:paraId="53C5EA51" w14:textId="6F21421E" w:rsidR="00DD1278" w:rsidRPr="00705CB0" w:rsidRDefault="00F078CD" w:rsidP="00420DE3">
      <w:pPr>
        <w:pStyle w:val="ydpbb513645msonormal"/>
        <w:shd w:val="clear" w:color="auto" w:fill="FFFFFF"/>
        <w:spacing w:before="0" w:beforeAutospacing="0" w:after="0" w:afterAutospacing="0"/>
        <w:rPr>
          <w:b/>
          <w:bCs/>
          <w:color w:val="1D1D1D"/>
          <w:sz w:val="22"/>
          <w:szCs w:val="22"/>
        </w:rPr>
      </w:pPr>
      <w:r w:rsidRPr="00705CB0">
        <w:rPr>
          <w:b/>
          <w:bCs/>
          <w:sz w:val="22"/>
          <w:szCs w:val="22"/>
        </w:rPr>
        <w:t>11.3</w:t>
      </w:r>
      <w:r w:rsidR="00457DE9" w:rsidRPr="00705CB0">
        <w:rPr>
          <w:b/>
          <w:bCs/>
          <w:sz w:val="22"/>
          <w:szCs w:val="22"/>
        </w:rPr>
        <w:t>.</w:t>
      </w:r>
      <w:r w:rsidRPr="00705CB0">
        <w:rPr>
          <w:b/>
          <w:bCs/>
          <w:sz w:val="22"/>
          <w:szCs w:val="22"/>
        </w:rPr>
        <w:t xml:space="preserve"> DISTINGUISHED RIFLE BADGES:</w:t>
      </w:r>
      <w:r w:rsidR="00DD1278" w:rsidRPr="00705CB0">
        <w:rPr>
          <w:b/>
          <w:bCs/>
          <w:i/>
          <w:iCs/>
          <w:sz w:val="22"/>
          <w:szCs w:val="22"/>
        </w:rPr>
        <w:t xml:space="preserve">  </w:t>
      </w:r>
      <w:r w:rsidR="00DD1278" w:rsidRPr="00705CB0">
        <w:rPr>
          <w:rFonts w:eastAsia="ArialMT"/>
          <w:sz w:val="22"/>
          <w:szCs w:val="22"/>
        </w:rPr>
        <w:t xml:space="preserve">Gold Distinguished Badges are the highest individual awards authorized by the U. S. Government for </w:t>
      </w:r>
      <w:r w:rsidR="00A51BC2" w:rsidRPr="00705CB0">
        <w:rPr>
          <w:rFonts w:eastAsia="ArialMT"/>
          <w:sz w:val="22"/>
          <w:szCs w:val="22"/>
        </w:rPr>
        <w:t>E</w:t>
      </w:r>
      <w:r w:rsidR="00DD1278" w:rsidRPr="00705CB0">
        <w:rPr>
          <w:rFonts w:eastAsia="ArialMT"/>
          <w:sz w:val="22"/>
          <w:szCs w:val="22"/>
        </w:rPr>
        <w:t>xcellence</w:t>
      </w:r>
      <w:r w:rsidR="00C4423F" w:rsidRPr="00705CB0">
        <w:rPr>
          <w:rFonts w:eastAsia="ArialMT"/>
          <w:sz w:val="22"/>
          <w:szCs w:val="22"/>
        </w:rPr>
        <w:t>-</w:t>
      </w:r>
      <w:r w:rsidR="00A51BC2" w:rsidRPr="00705CB0">
        <w:rPr>
          <w:rFonts w:eastAsia="ArialMT"/>
          <w:sz w:val="22"/>
          <w:szCs w:val="22"/>
        </w:rPr>
        <w:t>I</w:t>
      </w:r>
      <w:r w:rsidR="00DD1278" w:rsidRPr="00705CB0">
        <w:rPr>
          <w:rFonts w:eastAsia="ArialMT"/>
          <w:sz w:val="22"/>
          <w:szCs w:val="22"/>
        </w:rPr>
        <w:t>n</w:t>
      </w:r>
      <w:r w:rsidR="00C4423F" w:rsidRPr="00705CB0">
        <w:rPr>
          <w:rFonts w:eastAsia="ArialMT"/>
          <w:sz w:val="22"/>
          <w:szCs w:val="22"/>
        </w:rPr>
        <w:t>-</w:t>
      </w:r>
      <w:r w:rsidR="00A51BC2" w:rsidRPr="00705CB0">
        <w:rPr>
          <w:rFonts w:eastAsia="ArialMT"/>
          <w:sz w:val="22"/>
          <w:szCs w:val="22"/>
        </w:rPr>
        <w:t>C</w:t>
      </w:r>
      <w:r w:rsidR="00DD1278" w:rsidRPr="00705CB0">
        <w:rPr>
          <w:rFonts w:eastAsia="ArialMT"/>
          <w:sz w:val="22"/>
          <w:szCs w:val="22"/>
        </w:rPr>
        <w:t>ompetitions</w:t>
      </w:r>
      <w:r w:rsidR="00A51BC2" w:rsidRPr="00705CB0">
        <w:rPr>
          <w:rFonts w:eastAsia="ArialMT"/>
          <w:sz w:val="22"/>
          <w:szCs w:val="22"/>
        </w:rPr>
        <w:t xml:space="preserve"> (EIC)</w:t>
      </w:r>
      <w:r w:rsidR="00DD1278" w:rsidRPr="00705CB0">
        <w:rPr>
          <w:rFonts w:eastAsia="ArialMT"/>
          <w:sz w:val="22"/>
          <w:szCs w:val="22"/>
        </w:rPr>
        <w:t>. Distinguished Badges are awarded by the</w:t>
      </w:r>
      <w:r w:rsidR="000251BB" w:rsidRPr="00705CB0">
        <w:rPr>
          <w:rFonts w:eastAsia="ArialMT"/>
          <w:sz w:val="22"/>
          <w:szCs w:val="22"/>
        </w:rPr>
        <w:t xml:space="preserve"> Civilian marksmanship Program</w:t>
      </w:r>
      <w:r w:rsidR="00DD1278" w:rsidRPr="00705CB0">
        <w:rPr>
          <w:rFonts w:eastAsia="ArialMT"/>
          <w:sz w:val="22"/>
          <w:szCs w:val="22"/>
        </w:rPr>
        <w:t xml:space="preserve"> </w:t>
      </w:r>
      <w:r w:rsidR="000251BB" w:rsidRPr="00705CB0">
        <w:rPr>
          <w:rFonts w:eastAsia="ArialMT"/>
          <w:sz w:val="22"/>
          <w:szCs w:val="22"/>
        </w:rPr>
        <w:t>(</w:t>
      </w:r>
      <w:r w:rsidR="00DD1278" w:rsidRPr="00705CB0">
        <w:rPr>
          <w:rFonts w:eastAsia="ArialMT"/>
          <w:sz w:val="22"/>
          <w:szCs w:val="22"/>
        </w:rPr>
        <w:t>CMP</w:t>
      </w:r>
      <w:r w:rsidR="000251BB" w:rsidRPr="00705CB0">
        <w:rPr>
          <w:rFonts w:eastAsia="ArialMT"/>
          <w:sz w:val="22"/>
          <w:szCs w:val="22"/>
        </w:rPr>
        <w:t>)</w:t>
      </w:r>
      <w:r w:rsidR="00DD1278" w:rsidRPr="00705CB0">
        <w:rPr>
          <w:rFonts w:eastAsia="ArialMT"/>
          <w:sz w:val="22"/>
          <w:szCs w:val="22"/>
        </w:rPr>
        <w:t xml:space="preserve"> and the respective military commands in accordance with 36 USC §40722 [3]. </w:t>
      </w:r>
      <w:r w:rsidR="008E5A17" w:rsidRPr="00705CB0">
        <w:rPr>
          <w:rFonts w:eastAsia="ArialMT"/>
          <w:sz w:val="22"/>
          <w:szCs w:val="22"/>
        </w:rPr>
        <w:t xml:space="preserve"> </w:t>
      </w:r>
      <w:r w:rsidR="00DD1278" w:rsidRPr="00705CB0">
        <w:rPr>
          <w:rFonts w:eastAsia="ArialMT"/>
          <w:sz w:val="22"/>
          <w:szCs w:val="22"/>
        </w:rPr>
        <w:t xml:space="preserve">The CMP issues Distinguished Badges to competitors who earn them according to </w:t>
      </w:r>
      <w:hyperlink r:id="rId11" w:history="1">
        <w:r w:rsidR="00DD1278" w:rsidRPr="00705CB0">
          <w:rPr>
            <w:rStyle w:val="Hyperlink"/>
            <w:rFonts w:eastAsia="ArialMT"/>
            <w:b/>
            <w:bCs/>
            <w:sz w:val="22"/>
            <w:szCs w:val="22"/>
          </w:rPr>
          <w:t>CMP Competition Rules</w:t>
        </w:r>
      </w:hyperlink>
      <w:r w:rsidR="00DD1278" w:rsidRPr="00705CB0">
        <w:rPr>
          <w:rFonts w:eastAsia="ArialMT"/>
          <w:sz w:val="22"/>
          <w:szCs w:val="22"/>
        </w:rPr>
        <w:t>.</w:t>
      </w:r>
    </w:p>
    <w:p w14:paraId="7FABCD2C" w14:textId="77777777" w:rsidR="00420DE3" w:rsidRPr="00705CB0" w:rsidRDefault="00420DE3" w:rsidP="00420DE3">
      <w:pPr>
        <w:pStyle w:val="ydpbb513645msonormal"/>
        <w:shd w:val="clear" w:color="auto" w:fill="FFFFFF"/>
        <w:spacing w:before="0" w:beforeAutospacing="0" w:after="0" w:afterAutospacing="0"/>
        <w:rPr>
          <w:b/>
          <w:bCs/>
          <w:caps/>
          <w:color w:val="1D1D1D"/>
          <w:sz w:val="22"/>
          <w:szCs w:val="22"/>
        </w:rPr>
      </w:pPr>
    </w:p>
    <w:p w14:paraId="4576F98C" w14:textId="08D7D0E9" w:rsidR="008E7F00" w:rsidRPr="00705CB0" w:rsidRDefault="00EF312B" w:rsidP="00420DE3">
      <w:pPr>
        <w:pStyle w:val="ydpbb513645msonormal"/>
        <w:shd w:val="clear" w:color="auto" w:fill="FFFFFF"/>
        <w:spacing w:before="0" w:beforeAutospacing="0" w:after="0" w:afterAutospacing="0"/>
        <w:rPr>
          <w:rFonts w:eastAsia="ArialMT"/>
          <w:sz w:val="22"/>
          <w:szCs w:val="22"/>
        </w:rPr>
      </w:pPr>
      <w:r w:rsidRPr="00705CB0">
        <w:rPr>
          <w:b/>
          <w:bCs/>
          <w:caps/>
          <w:color w:val="1D1D1D"/>
          <w:sz w:val="22"/>
          <w:szCs w:val="22"/>
        </w:rPr>
        <w:t xml:space="preserve">Smallbore Rifle </w:t>
      </w:r>
      <w:r w:rsidR="00AB6A4B" w:rsidRPr="00705CB0">
        <w:rPr>
          <w:b/>
          <w:bCs/>
          <w:sz w:val="22"/>
          <w:szCs w:val="22"/>
        </w:rPr>
        <w:t>DISTINGUISHED</w:t>
      </w:r>
      <w:r w:rsidRPr="00705CB0">
        <w:rPr>
          <w:b/>
          <w:bCs/>
          <w:caps/>
          <w:color w:val="1D1D1D"/>
          <w:sz w:val="22"/>
          <w:szCs w:val="22"/>
        </w:rPr>
        <w:t>:</w:t>
      </w:r>
      <w:r w:rsidR="00AB6A4B" w:rsidRPr="00705CB0">
        <w:rPr>
          <w:b/>
          <w:bCs/>
          <w:caps/>
          <w:color w:val="1D1D1D"/>
          <w:sz w:val="22"/>
          <w:szCs w:val="22"/>
        </w:rPr>
        <w:t xml:space="preserve"> </w:t>
      </w:r>
      <w:r w:rsidR="00AB6A4B" w:rsidRPr="00705CB0">
        <w:rPr>
          <w:color w:val="1D1D1D"/>
          <w:sz w:val="22"/>
          <w:szCs w:val="22"/>
        </w:rPr>
        <w:t>In accordance with CMP Rule 11.3.4.</w:t>
      </w:r>
      <w:r w:rsidR="009934E4" w:rsidRPr="00705CB0">
        <w:rPr>
          <w:color w:val="1D1D1D"/>
          <w:sz w:val="22"/>
          <w:szCs w:val="22"/>
        </w:rPr>
        <w:t xml:space="preserve">, 11.3.6, and </w:t>
      </w:r>
      <w:r w:rsidR="00AB6A4B" w:rsidRPr="00705CB0">
        <w:rPr>
          <w:color w:val="1D1D1D"/>
          <w:sz w:val="22"/>
          <w:szCs w:val="22"/>
        </w:rPr>
        <w:t xml:space="preserve">11.3.7. </w:t>
      </w:r>
      <w:r w:rsidR="00E20962" w:rsidRPr="00705CB0">
        <w:rPr>
          <w:color w:val="1D1D1D"/>
          <w:sz w:val="22"/>
          <w:szCs w:val="22"/>
        </w:rPr>
        <w:t xml:space="preserve">The </w:t>
      </w:r>
      <w:r w:rsidR="004E3CB0" w:rsidRPr="00705CB0">
        <w:rPr>
          <w:color w:val="1D1D1D"/>
          <w:sz w:val="22"/>
          <w:szCs w:val="22"/>
        </w:rPr>
        <w:t>1</w:t>
      </w:r>
      <w:r w:rsidRPr="00705CB0">
        <w:rPr>
          <w:color w:val="1D1D1D"/>
          <w:sz w:val="22"/>
          <w:szCs w:val="22"/>
        </w:rPr>
        <w:t>60</w:t>
      </w:r>
      <w:r w:rsidR="00AB6A4B" w:rsidRPr="00705CB0">
        <w:rPr>
          <w:color w:val="1D1D1D"/>
          <w:sz w:val="22"/>
          <w:szCs w:val="22"/>
        </w:rPr>
        <w:t>0 courses</w:t>
      </w:r>
      <w:r w:rsidRPr="00705CB0">
        <w:rPr>
          <w:color w:val="1D1D1D"/>
          <w:sz w:val="22"/>
          <w:szCs w:val="22"/>
        </w:rPr>
        <w:t xml:space="preserve"> of fire </w:t>
      </w:r>
      <w:r w:rsidR="00AB6A4B" w:rsidRPr="00705CB0">
        <w:rPr>
          <w:color w:val="1D1D1D"/>
          <w:sz w:val="22"/>
          <w:szCs w:val="22"/>
        </w:rPr>
        <w:t xml:space="preserve">is approved for </w:t>
      </w:r>
      <w:r w:rsidR="006A044C" w:rsidRPr="00705CB0">
        <w:rPr>
          <w:color w:val="1D1D1D"/>
          <w:sz w:val="22"/>
          <w:szCs w:val="22"/>
        </w:rPr>
        <w:t>Excellence</w:t>
      </w:r>
      <w:r w:rsidR="005F0005" w:rsidRPr="00705CB0">
        <w:rPr>
          <w:color w:val="1D1D1D"/>
          <w:sz w:val="22"/>
          <w:szCs w:val="22"/>
        </w:rPr>
        <w:t>-</w:t>
      </w:r>
      <w:r w:rsidR="006A044C" w:rsidRPr="00705CB0">
        <w:rPr>
          <w:color w:val="1D1D1D"/>
          <w:sz w:val="22"/>
          <w:szCs w:val="22"/>
        </w:rPr>
        <w:t>In</w:t>
      </w:r>
      <w:r w:rsidR="005F0005" w:rsidRPr="00705CB0">
        <w:rPr>
          <w:color w:val="1D1D1D"/>
          <w:sz w:val="22"/>
          <w:szCs w:val="22"/>
        </w:rPr>
        <w:t>-</w:t>
      </w:r>
      <w:r w:rsidR="006A044C" w:rsidRPr="00705CB0">
        <w:rPr>
          <w:color w:val="1D1D1D"/>
          <w:sz w:val="22"/>
          <w:szCs w:val="22"/>
        </w:rPr>
        <w:t>Competition (EIC)</w:t>
      </w:r>
      <w:r w:rsidR="00AB6A4B" w:rsidRPr="00705CB0">
        <w:rPr>
          <w:color w:val="1D1D1D"/>
          <w:sz w:val="22"/>
          <w:szCs w:val="22"/>
        </w:rPr>
        <w:t xml:space="preserve">.  </w:t>
      </w:r>
      <w:r w:rsidRPr="00705CB0">
        <w:rPr>
          <w:color w:val="1D1D1D"/>
          <w:sz w:val="22"/>
          <w:szCs w:val="22"/>
          <w:u w:val="single"/>
        </w:rPr>
        <w:t>Prone 16</w:t>
      </w:r>
      <w:r w:rsidR="00AB6A4B" w:rsidRPr="00705CB0">
        <w:rPr>
          <w:color w:val="1D1D1D"/>
          <w:sz w:val="22"/>
          <w:szCs w:val="22"/>
          <w:u w:val="single"/>
        </w:rPr>
        <w:t>0</w:t>
      </w:r>
      <w:r w:rsidRPr="00705CB0">
        <w:rPr>
          <w:color w:val="1D1D1D"/>
          <w:sz w:val="22"/>
          <w:szCs w:val="22"/>
          <w:u w:val="single"/>
        </w:rPr>
        <w:t>0</w:t>
      </w:r>
      <w:r w:rsidR="00AB6A4B" w:rsidRPr="00705CB0">
        <w:rPr>
          <w:color w:val="1D1D1D"/>
          <w:sz w:val="22"/>
          <w:szCs w:val="22"/>
          <w:u w:val="single"/>
        </w:rPr>
        <w:t xml:space="preserve"> </w:t>
      </w:r>
      <w:r w:rsidRPr="00705CB0">
        <w:rPr>
          <w:color w:val="1D1D1D"/>
          <w:sz w:val="22"/>
          <w:szCs w:val="22"/>
          <w:u w:val="single"/>
        </w:rPr>
        <w:t>events are sanctioned as separate EIC</w:t>
      </w:r>
      <w:r w:rsidR="006A044C" w:rsidRPr="00705CB0">
        <w:rPr>
          <w:color w:val="1D1D1D"/>
          <w:sz w:val="22"/>
          <w:szCs w:val="22"/>
          <w:u w:val="single"/>
        </w:rPr>
        <w:t xml:space="preserve"> </w:t>
      </w:r>
      <w:r w:rsidRPr="00705CB0">
        <w:rPr>
          <w:color w:val="1D1D1D"/>
          <w:sz w:val="22"/>
          <w:szCs w:val="22"/>
          <w:u w:val="single"/>
        </w:rPr>
        <w:t>events and may be either metallic sight or any sight events.</w:t>
      </w:r>
      <w:r w:rsidR="009934E4" w:rsidRPr="00705CB0">
        <w:rPr>
          <w:color w:val="1D1D1D"/>
          <w:sz w:val="22"/>
          <w:szCs w:val="22"/>
        </w:rPr>
        <w:t xml:space="preserve">  </w:t>
      </w:r>
      <w:r w:rsidR="00EB0D77" w:rsidRPr="00705CB0">
        <w:rPr>
          <w:rFonts w:eastAsia="ArialMT"/>
          <w:sz w:val="22"/>
          <w:szCs w:val="22"/>
        </w:rPr>
        <w:t>To receive EIC credit points, the score fired by the competitor must fulfill the requirements of Rule 11.3.6 (top 10%, etc.) and equal or exceed the Minimum Credit Score</w:t>
      </w:r>
      <w:r w:rsidR="00B60E99" w:rsidRPr="00705CB0">
        <w:rPr>
          <w:rFonts w:eastAsia="ArialMT"/>
          <w:sz w:val="22"/>
          <w:szCs w:val="22"/>
        </w:rPr>
        <w:t xml:space="preserve"> of 1588</w:t>
      </w:r>
      <w:r w:rsidR="00CF7BE2" w:rsidRPr="00705CB0">
        <w:rPr>
          <w:rFonts w:eastAsia="ArialMT"/>
          <w:sz w:val="22"/>
          <w:szCs w:val="22"/>
        </w:rPr>
        <w:t xml:space="preserve"> </w:t>
      </w:r>
      <w:r w:rsidR="00572519" w:rsidRPr="00705CB0">
        <w:rPr>
          <w:rFonts w:eastAsia="ArialMT"/>
          <w:sz w:val="22"/>
          <w:szCs w:val="22"/>
        </w:rPr>
        <w:t xml:space="preserve">in </w:t>
      </w:r>
      <w:r w:rsidR="00CF7BE2" w:rsidRPr="00705CB0">
        <w:rPr>
          <w:rFonts w:eastAsia="ArialMT"/>
          <w:sz w:val="22"/>
          <w:szCs w:val="22"/>
        </w:rPr>
        <w:t xml:space="preserve">prone &amp; </w:t>
      </w:r>
      <w:r w:rsidR="00C11F4E" w:rsidRPr="00705CB0">
        <w:rPr>
          <w:rFonts w:eastAsia="ArialMT"/>
          <w:sz w:val="22"/>
          <w:szCs w:val="22"/>
        </w:rPr>
        <w:t>550 or 1100</w:t>
      </w:r>
      <w:r w:rsidR="00572519" w:rsidRPr="00705CB0">
        <w:rPr>
          <w:rFonts w:eastAsia="ArialMT"/>
          <w:sz w:val="22"/>
          <w:szCs w:val="22"/>
        </w:rPr>
        <w:t xml:space="preserve"> in 3-Position</w:t>
      </w:r>
      <w:r w:rsidR="00B60E99" w:rsidRPr="00705CB0">
        <w:rPr>
          <w:rFonts w:eastAsia="ArialMT"/>
          <w:sz w:val="22"/>
          <w:szCs w:val="22"/>
        </w:rPr>
        <w:t>.</w:t>
      </w:r>
    </w:p>
    <w:p w14:paraId="5F500395" w14:textId="77777777" w:rsidR="00420DE3" w:rsidRPr="00705CB0" w:rsidRDefault="00420DE3" w:rsidP="00420DE3">
      <w:pPr>
        <w:pStyle w:val="ydpbb513645msonormal"/>
        <w:shd w:val="clear" w:color="auto" w:fill="FFFFFF"/>
        <w:spacing w:before="0" w:beforeAutospacing="0" w:after="0" w:afterAutospacing="0"/>
        <w:rPr>
          <w:rFonts w:eastAsia="ArialMT"/>
          <w:sz w:val="22"/>
          <w:szCs w:val="22"/>
        </w:rPr>
      </w:pPr>
    </w:p>
    <w:tbl>
      <w:tblPr>
        <w:tblStyle w:val="TableGrid"/>
        <w:tblW w:w="7950" w:type="dxa"/>
        <w:jc w:val="center"/>
        <w:tblLook w:val="04A0" w:firstRow="1" w:lastRow="0" w:firstColumn="1" w:lastColumn="0" w:noHBand="0" w:noVBand="1"/>
      </w:tblPr>
      <w:tblGrid>
        <w:gridCol w:w="2785"/>
        <w:gridCol w:w="1420"/>
        <w:gridCol w:w="1870"/>
        <w:gridCol w:w="1875"/>
      </w:tblGrid>
      <w:tr w:rsidR="009E40AE" w:rsidRPr="00705CB0" w14:paraId="45209AC8" w14:textId="77777777" w:rsidTr="00420DE3">
        <w:trPr>
          <w:jc w:val="center"/>
        </w:trPr>
        <w:tc>
          <w:tcPr>
            <w:tcW w:w="7950" w:type="dxa"/>
            <w:gridSpan w:val="4"/>
            <w:shd w:val="clear" w:color="auto" w:fill="000000" w:themeFill="text1"/>
          </w:tcPr>
          <w:p w14:paraId="31C747F7" w14:textId="4D6A861B" w:rsidR="009E40AE" w:rsidRPr="00705CB0" w:rsidRDefault="009E40AE" w:rsidP="00420DE3">
            <w:pPr>
              <w:pStyle w:val="ydpbb513645msonormal"/>
              <w:spacing w:before="0" w:beforeAutospacing="0" w:after="0" w:afterAutospacing="0"/>
              <w:rPr>
                <w:b/>
                <w:bCs/>
                <w:caps/>
                <w:color w:val="1D1D1D"/>
                <w:sz w:val="22"/>
                <w:szCs w:val="22"/>
              </w:rPr>
            </w:pPr>
            <w:r w:rsidRPr="00705CB0">
              <w:rPr>
                <w:b/>
                <w:bCs/>
                <w:caps/>
                <w:color w:val="F6F6F6"/>
                <w:sz w:val="22"/>
                <w:szCs w:val="22"/>
              </w:rPr>
              <w:t>TABLE 8 – EIC Credit Points Awards</w:t>
            </w:r>
          </w:p>
        </w:tc>
      </w:tr>
      <w:tr w:rsidR="009E40AE" w:rsidRPr="00705CB0" w14:paraId="3E4998A8" w14:textId="77777777" w:rsidTr="00420DE3">
        <w:trPr>
          <w:jc w:val="center"/>
        </w:trPr>
        <w:tc>
          <w:tcPr>
            <w:tcW w:w="2785" w:type="dxa"/>
          </w:tcPr>
          <w:p w14:paraId="0087165F" w14:textId="7AE51002" w:rsidR="009E40AE" w:rsidRPr="00705CB0" w:rsidRDefault="009E40AE" w:rsidP="00420DE3">
            <w:pPr>
              <w:pStyle w:val="ydpbb513645msonormal"/>
              <w:spacing w:before="0" w:beforeAutospacing="0" w:after="0" w:afterAutospacing="0"/>
              <w:jc w:val="center"/>
              <w:rPr>
                <w:b/>
                <w:bCs/>
                <w:color w:val="1D1D1D"/>
                <w:sz w:val="22"/>
                <w:szCs w:val="22"/>
              </w:rPr>
            </w:pPr>
            <w:r w:rsidRPr="00705CB0">
              <w:rPr>
                <w:b/>
                <w:bCs/>
                <w:color w:val="1D1D1D"/>
                <w:sz w:val="22"/>
                <w:szCs w:val="22"/>
              </w:rPr>
              <w:t>Eligible Competitors</w:t>
            </w:r>
          </w:p>
        </w:tc>
        <w:tc>
          <w:tcPr>
            <w:tcW w:w="1420" w:type="dxa"/>
          </w:tcPr>
          <w:p w14:paraId="02483A26" w14:textId="0B6D3C60" w:rsidR="009E40AE" w:rsidRPr="00705CB0" w:rsidRDefault="009E40AE" w:rsidP="00420DE3">
            <w:pPr>
              <w:pStyle w:val="ydpbb513645msonormal"/>
              <w:spacing w:before="0" w:beforeAutospacing="0" w:after="0" w:afterAutospacing="0"/>
              <w:jc w:val="center"/>
              <w:rPr>
                <w:b/>
                <w:bCs/>
                <w:color w:val="1D1D1D"/>
                <w:sz w:val="22"/>
                <w:szCs w:val="22"/>
              </w:rPr>
            </w:pPr>
            <w:r w:rsidRPr="00705CB0">
              <w:rPr>
                <w:b/>
                <w:bCs/>
                <w:color w:val="1D1D1D"/>
                <w:sz w:val="22"/>
                <w:szCs w:val="22"/>
              </w:rPr>
              <w:t>Gold</w:t>
            </w:r>
            <w:r w:rsidR="004471E4" w:rsidRPr="00705CB0">
              <w:rPr>
                <w:b/>
                <w:bCs/>
                <w:color w:val="1D1D1D"/>
                <w:sz w:val="22"/>
                <w:szCs w:val="22"/>
              </w:rPr>
              <w:br/>
              <w:t>Prone / 3-P</w:t>
            </w:r>
          </w:p>
        </w:tc>
        <w:tc>
          <w:tcPr>
            <w:tcW w:w="1870" w:type="dxa"/>
          </w:tcPr>
          <w:p w14:paraId="27EB73B0" w14:textId="375932E3" w:rsidR="009E40AE" w:rsidRPr="00705CB0" w:rsidRDefault="009E40AE" w:rsidP="00420DE3">
            <w:pPr>
              <w:pStyle w:val="ydpbb513645msonormal"/>
              <w:spacing w:before="0" w:beforeAutospacing="0" w:after="0" w:afterAutospacing="0"/>
              <w:jc w:val="center"/>
              <w:rPr>
                <w:b/>
                <w:bCs/>
                <w:color w:val="1D1D1D"/>
                <w:sz w:val="22"/>
                <w:szCs w:val="22"/>
              </w:rPr>
            </w:pPr>
            <w:r w:rsidRPr="00705CB0">
              <w:rPr>
                <w:b/>
                <w:bCs/>
                <w:color w:val="1D1D1D"/>
                <w:sz w:val="22"/>
                <w:szCs w:val="22"/>
              </w:rPr>
              <w:t>Silver</w:t>
            </w:r>
            <w:r w:rsidR="004471E4" w:rsidRPr="00705CB0">
              <w:rPr>
                <w:b/>
                <w:bCs/>
                <w:color w:val="1D1D1D"/>
                <w:sz w:val="22"/>
                <w:szCs w:val="22"/>
              </w:rPr>
              <w:br/>
              <w:t>Prone / 3-P</w:t>
            </w:r>
          </w:p>
        </w:tc>
        <w:tc>
          <w:tcPr>
            <w:tcW w:w="1875" w:type="dxa"/>
          </w:tcPr>
          <w:p w14:paraId="086F30A3" w14:textId="77777777" w:rsidR="009E40AE" w:rsidRPr="00705CB0" w:rsidRDefault="009E40AE" w:rsidP="00420DE3">
            <w:pPr>
              <w:pStyle w:val="ydpbb513645msonormal"/>
              <w:spacing w:before="0" w:beforeAutospacing="0" w:after="0" w:afterAutospacing="0"/>
              <w:jc w:val="center"/>
              <w:rPr>
                <w:b/>
                <w:bCs/>
                <w:color w:val="1D1D1D"/>
                <w:sz w:val="22"/>
                <w:szCs w:val="22"/>
              </w:rPr>
            </w:pPr>
            <w:r w:rsidRPr="00705CB0">
              <w:rPr>
                <w:b/>
                <w:bCs/>
                <w:color w:val="1D1D1D"/>
                <w:sz w:val="22"/>
                <w:szCs w:val="22"/>
              </w:rPr>
              <w:t>Bronze</w:t>
            </w:r>
          </w:p>
          <w:p w14:paraId="0EC1DD0B" w14:textId="0AAB7BF2" w:rsidR="006D3436" w:rsidRPr="00705CB0" w:rsidRDefault="006D3436" w:rsidP="00420DE3">
            <w:pPr>
              <w:pStyle w:val="ydpbb513645msonormal"/>
              <w:spacing w:before="0" w:beforeAutospacing="0" w:after="0" w:afterAutospacing="0"/>
              <w:jc w:val="center"/>
              <w:rPr>
                <w:b/>
                <w:bCs/>
                <w:color w:val="1D1D1D"/>
                <w:sz w:val="22"/>
                <w:szCs w:val="22"/>
              </w:rPr>
            </w:pPr>
            <w:r w:rsidRPr="00705CB0">
              <w:rPr>
                <w:b/>
                <w:bCs/>
                <w:color w:val="1D1D1D"/>
                <w:sz w:val="22"/>
                <w:szCs w:val="22"/>
              </w:rPr>
              <w:t>Prone / 3-P</w:t>
            </w:r>
          </w:p>
        </w:tc>
      </w:tr>
      <w:tr w:rsidR="009E40AE" w:rsidRPr="00705CB0" w14:paraId="6E44E1D3" w14:textId="77777777" w:rsidTr="00420DE3">
        <w:trPr>
          <w:jc w:val="center"/>
        </w:trPr>
        <w:tc>
          <w:tcPr>
            <w:tcW w:w="2785" w:type="dxa"/>
          </w:tcPr>
          <w:p w14:paraId="28723E93" w14:textId="3924545B" w:rsidR="009E40AE" w:rsidRPr="00705CB0" w:rsidRDefault="009E40AE" w:rsidP="00420DE3">
            <w:pPr>
              <w:pStyle w:val="ydpbb513645msonormal"/>
              <w:spacing w:before="0" w:beforeAutospacing="0" w:after="0" w:afterAutospacing="0"/>
              <w:jc w:val="center"/>
              <w:rPr>
                <w:color w:val="1D1D1D"/>
                <w:sz w:val="22"/>
                <w:szCs w:val="22"/>
              </w:rPr>
            </w:pPr>
            <w:r w:rsidRPr="00705CB0">
              <w:rPr>
                <w:color w:val="1D1D1D"/>
                <w:sz w:val="22"/>
                <w:szCs w:val="22"/>
              </w:rPr>
              <w:t>6 to 15</w:t>
            </w:r>
          </w:p>
        </w:tc>
        <w:tc>
          <w:tcPr>
            <w:tcW w:w="1420" w:type="dxa"/>
          </w:tcPr>
          <w:p w14:paraId="7A39E566" w14:textId="19178EF3" w:rsidR="009E40AE" w:rsidRPr="00705CB0" w:rsidRDefault="009E40AE" w:rsidP="00420DE3">
            <w:pPr>
              <w:pStyle w:val="ydpbb513645msonormal"/>
              <w:spacing w:before="0" w:beforeAutospacing="0" w:after="0" w:afterAutospacing="0"/>
              <w:jc w:val="center"/>
              <w:rPr>
                <w:color w:val="1D1D1D"/>
                <w:sz w:val="22"/>
                <w:szCs w:val="22"/>
              </w:rPr>
            </w:pPr>
            <w:r w:rsidRPr="00705CB0">
              <w:rPr>
                <w:color w:val="1D1D1D"/>
                <w:sz w:val="22"/>
                <w:szCs w:val="22"/>
              </w:rPr>
              <w:t>0</w:t>
            </w:r>
          </w:p>
        </w:tc>
        <w:tc>
          <w:tcPr>
            <w:tcW w:w="1870" w:type="dxa"/>
          </w:tcPr>
          <w:p w14:paraId="1A226D26" w14:textId="37D3BE8B" w:rsidR="009E40AE" w:rsidRPr="00705CB0" w:rsidRDefault="009E40AE" w:rsidP="00420DE3">
            <w:pPr>
              <w:pStyle w:val="ydpbb513645msonormal"/>
              <w:spacing w:before="0" w:beforeAutospacing="0" w:after="0" w:afterAutospacing="0"/>
              <w:jc w:val="center"/>
              <w:rPr>
                <w:color w:val="1D1D1D"/>
                <w:sz w:val="22"/>
                <w:szCs w:val="22"/>
              </w:rPr>
            </w:pPr>
            <w:r w:rsidRPr="00705CB0">
              <w:rPr>
                <w:color w:val="1D1D1D"/>
                <w:sz w:val="22"/>
                <w:szCs w:val="22"/>
              </w:rPr>
              <w:t>0</w:t>
            </w:r>
          </w:p>
        </w:tc>
        <w:tc>
          <w:tcPr>
            <w:tcW w:w="1875" w:type="dxa"/>
          </w:tcPr>
          <w:p w14:paraId="35C1FE48" w14:textId="171D55A7" w:rsidR="009E40AE" w:rsidRPr="00705CB0" w:rsidRDefault="00080651" w:rsidP="00420DE3">
            <w:pPr>
              <w:pStyle w:val="ydpbb513645msonormal"/>
              <w:spacing w:before="0" w:beforeAutospacing="0" w:after="0" w:afterAutospacing="0"/>
              <w:jc w:val="center"/>
              <w:rPr>
                <w:color w:val="1D1D1D"/>
                <w:sz w:val="22"/>
                <w:szCs w:val="22"/>
              </w:rPr>
            </w:pPr>
            <w:r w:rsidRPr="00705CB0">
              <w:rPr>
                <w:color w:val="1D1D1D"/>
                <w:sz w:val="22"/>
                <w:szCs w:val="22"/>
              </w:rPr>
              <w:t xml:space="preserve">3pts / </w:t>
            </w:r>
            <w:r w:rsidR="00175216" w:rsidRPr="00705CB0">
              <w:rPr>
                <w:color w:val="1D1D1D"/>
                <w:sz w:val="22"/>
                <w:szCs w:val="22"/>
              </w:rPr>
              <w:t>6pts</w:t>
            </w:r>
          </w:p>
        </w:tc>
      </w:tr>
      <w:tr w:rsidR="009E40AE" w:rsidRPr="00705CB0" w14:paraId="52F318AE" w14:textId="77777777" w:rsidTr="00420DE3">
        <w:trPr>
          <w:jc w:val="center"/>
        </w:trPr>
        <w:tc>
          <w:tcPr>
            <w:tcW w:w="2785" w:type="dxa"/>
          </w:tcPr>
          <w:p w14:paraId="63985B67" w14:textId="7ED85731" w:rsidR="009E40AE" w:rsidRPr="00705CB0" w:rsidRDefault="009E40AE" w:rsidP="00420DE3">
            <w:pPr>
              <w:pStyle w:val="ydpbb513645msonormal"/>
              <w:spacing w:before="0" w:beforeAutospacing="0" w:after="0" w:afterAutospacing="0"/>
              <w:jc w:val="center"/>
              <w:rPr>
                <w:color w:val="1D1D1D"/>
                <w:sz w:val="22"/>
                <w:szCs w:val="22"/>
              </w:rPr>
            </w:pPr>
            <w:r w:rsidRPr="00705CB0">
              <w:rPr>
                <w:color w:val="1D1D1D"/>
                <w:sz w:val="22"/>
                <w:szCs w:val="22"/>
              </w:rPr>
              <w:t>16 to 25</w:t>
            </w:r>
          </w:p>
        </w:tc>
        <w:tc>
          <w:tcPr>
            <w:tcW w:w="1420" w:type="dxa"/>
          </w:tcPr>
          <w:p w14:paraId="3E06BF5A" w14:textId="60BEA391" w:rsidR="009E40AE" w:rsidRPr="00705CB0" w:rsidRDefault="009E40AE" w:rsidP="00420DE3">
            <w:pPr>
              <w:pStyle w:val="ydpbb513645msonormal"/>
              <w:spacing w:before="0" w:beforeAutospacing="0" w:after="0" w:afterAutospacing="0"/>
              <w:jc w:val="center"/>
              <w:rPr>
                <w:color w:val="1D1D1D"/>
                <w:sz w:val="22"/>
                <w:szCs w:val="22"/>
              </w:rPr>
            </w:pPr>
            <w:r w:rsidRPr="00705CB0">
              <w:rPr>
                <w:color w:val="1D1D1D"/>
                <w:sz w:val="22"/>
                <w:szCs w:val="22"/>
              </w:rPr>
              <w:t>0</w:t>
            </w:r>
          </w:p>
        </w:tc>
        <w:tc>
          <w:tcPr>
            <w:tcW w:w="1870" w:type="dxa"/>
          </w:tcPr>
          <w:p w14:paraId="23E7A78E" w14:textId="6FF0CB10" w:rsidR="009E40AE" w:rsidRPr="00705CB0" w:rsidRDefault="006D3436" w:rsidP="00420DE3">
            <w:pPr>
              <w:pStyle w:val="ydpbb513645msonormal"/>
              <w:spacing w:before="0" w:beforeAutospacing="0" w:after="0" w:afterAutospacing="0"/>
              <w:jc w:val="center"/>
              <w:rPr>
                <w:color w:val="1D1D1D"/>
                <w:sz w:val="22"/>
                <w:szCs w:val="22"/>
              </w:rPr>
            </w:pPr>
            <w:r w:rsidRPr="00705CB0">
              <w:rPr>
                <w:color w:val="1D1D1D"/>
                <w:sz w:val="22"/>
                <w:szCs w:val="22"/>
              </w:rPr>
              <w:t xml:space="preserve">4 pts / </w:t>
            </w:r>
            <w:r w:rsidR="00175216" w:rsidRPr="00705CB0">
              <w:rPr>
                <w:color w:val="1D1D1D"/>
                <w:sz w:val="22"/>
                <w:szCs w:val="22"/>
              </w:rPr>
              <w:t>8pts</w:t>
            </w:r>
          </w:p>
        </w:tc>
        <w:tc>
          <w:tcPr>
            <w:tcW w:w="1875" w:type="dxa"/>
          </w:tcPr>
          <w:p w14:paraId="0913AD7C" w14:textId="621AB382" w:rsidR="009E40AE" w:rsidRPr="00705CB0" w:rsidRDefault="00080651" w:rsidP="00420DE3">
            <w:pPr>
              <w:pStyle w:val="ydpbb513645msonormal"/>
              <w:spacing w:before="0" w:beforeAutospacing="0" w:after="0" w:afterAutospacing="0"/>
              <w:jc w:val="center"/>
              <w:rPr>
                <w:color w:val="1D1D1D"/>
                <w:sz w:val="22"/>
                <w:szCs w:val="22"/>
              </w:rPr>
            </w:pPr>
            <w:r w:rsidRPr="00705CB0">
              <w:rPr>
                <w:color w:val="1D1D1D"/>
                <w:sz w:val="22"/>
                <w:szCs w:val="22"/>
              </w:rPr>
              <w:t>3pts</w:t>
            </w:r>
            <w:r w:rsidR="006D3436" w:rsidRPr="00705CB0">
              <w:rPr>
                <w:color w:val="1D1D1D"/>
                <w:sz w:val="22"/>
                <w:szCs w:val="22"/>
              </w:rPr>
              <w:t xml:space="preserve"> / </w:t>
            </w:r>
            <w:r w:rsidR="00175216" w:rsidRPr="00705CB0">
              <w:rPr>
                <w:color w:val="1D1D1D"/>
                <w:sz w:val="22"/>
                <w:szCs w:val="22"/>
              </w:rPr>
              <w:t>6pts</w:t>
            </w:r>
          </w:p>
        </w:tc>
      </w:tr>
    </w:tbl>
    <w:p w14:paraId="7A93F5F5" w14:textId="77777777" w:rsidR="00705CB0" w:rsidRPr="00705CB0" w:rsidRDefault="00705CB0" w:rsidP="00420DE3">
      <w:pPr>
        <w:pStyle w:val="ydpbb513645msonormal"/>
        <w:shd w:val="clear" w:color="auto" w:fill="FFFFFF"/>
        <w:spacing w:before="0" w:beforeAutospacing="0" w:after="0" w:afterAutospacing="0"/>
        <w:rPr>
          <w:color w:val="1D1D1D"/>
          <w:sz w:val="22"/>
          <w:szCs w:val="22"/>
        </w:rPr>
      </w:pPr>
    </w:p>
    <w:p w14:paraId="30C4AC14" w14:textId="46A888B2" w:rsidR="00705CB0" w:rsidRDefault="00F91179" w:rsidP="00420DE3">
      <w:pPr>
        <w:pStyle w:val="ydpbb513645msonormal"/>
        <w:shd w:val="clear" w:color="auto" w:fill="FFFFFF"/>
        <w:spacing w:before="0" w:beforeAutospacing="0" w:after="0" w:afterAutospacing="0"/>
        <w:rPr>
          <w:color w:val="1D1D1D"/>
          <w:sz w:val="22"/>
          <w:szCs w:val="22"/>
        </w:rPr>
      </w:pPr>
      <w:r w:rsidRPr="00F91179">
        <w:rPr>
          <w:b/>
          <w:bCs/>
          <w:caps/>
          <w:color w:val="1D1D1D"/>
          <w:sz w:val="22"/>
          <w:szCs w:val="22"/>
        </w:rPr>
        <w:t>Awards:</w:t>
      </w:r>
      <w:r>
        <w:rPr>
          <w:color w:val="1D1D1D"/>
          <w:sz w:val="22"/>
          <w:szCs w:val="22"/>
        </w:rPr>
        <w:t xml:space="preserve">  </w:t>
      </w:r>
      <w:r w:rsidRPr="00F91179">
        <w:rPr>
          <w:color w:val="1D1D1D"/>
          <w:sz w:val="22"/>
          <w:szCs w:val="22"/>
        </w:rPr>
        <w:t>Awards will be given for each</w:t>
      </w:r>
      <w:r>
        <w:rPr>
          <w:color w:val="1D1D1D"/>
          <w:sz w:val="22"/>
          <w:szCs w:val="22"/>
        </w:rPr>
        <w:t xml:space="preserve"> registered Tournament </w:t>
      </w:r>
      <w:r w:rsidRPr="00F91179">
        <w:rPr>
          <w:i/>
          <w:iCs/>
          <w:color w:val="1D1D1D"/>
          <w:sz w:val="22"/>
          <w:szCs w:val="22"/>
        </w:rPr>
        <w:t>“</w:t>
      </w:r>
      <w:r w:rsidRPr="00F91179">
        <w:rPr>
          <w:b/>
          <w:bCs/>
          <w:i/>
          <w:iCs/>
          <w:sz w:val="22"/>
          <w:szCs w:val="22"/>
        </w:rPr>
        <w:t>(CMP Sanctioned EIC)</w:t>
      </w:r>
      <w:r>
        <w:rPr>
          <w:b/>
          <w:bCs/>
          <w:sz w:val="22"/>
          <w:szCs w:val="22"/>
        </w:rPr>
        <w:t>”</w:t>
      </w:r>
      <w:r w:rsidRPr="00F91179">
        <w:rPr>
          <w:color w:val="1D1D1D"/>
          <w:sz w:val="22"/>
          <w:szCs w:val="22"/>
        </w:rPr>
        <w:t>.</w:t>
      </w:r>
      <w:r>
        <w:rPr>
          <w:color w:val="1D1D1D"/>
          <w:sz w:val="22"/>
          <w:szCs w:val="22"/>
        </w:rPr>
        <w:t xml:space="preserve">  </w:t>
      </w:r>
      <w:r w:rsidRPr="00F91179">
        <w:rPr>
          <w:color w:val="1D1D1D"/>
          <w:sz w:val="22"/>
          <w:szCs w:val="22"/>
        </w:rPr>
        <w:t>The match winner will receive a GOLD medal.  The second and third place winners will receive SILVER and BRONZE medals respectively.</w:t>
      </w:r>
    </w:p>
    <w:p w14:paraId="56B7B61A" w14:textId="77777777" w:rsidR="00F91179" w:rsidRPr="00705CB0" w:rsidRDefault="00F91179" w:rsidP="00420DE3">
      <w:pPr>
        <w:pStyle w:val="ydpbb513645msonormal"/>
        <w:shd w:val="clear" w:color="auto" w:fill="FFFFFF"/>
        <w:spacing w:before="0" w:beforeAutospacing="0" w:after="0" w:afterAutospacing="0"/>
        <w:rPr>
          <w:color w:val="1D1D1D"/>
          <w:sz w:val="22"/>
          <w:szCs w:val="22"/>
        </w:rPr>
      </w:pPr>
    </w:p>
    <w:p w14:paraId="1E3B4DE7" w14:textId="552C6AFC" w:rsidR="00DB66AD" w:rsidRPr="00E35113" w:rsidRDefault="008E7F00" w:rsidP="00420DE3">
      <w:pPr>
        <w:rPr>
          <w:i/>
          <w:iCs/>
        </w:rPr>
      </w:pPr>
      <w:r w:rsidRPr="00E35113">
        <w:rPr>
          <w:b/>
          <w:bCs/>
          <w:caps/>
        </w:rPr>
        <w:t>Intent &amp; Spirit:</w:t>
      </w:r>
      <w:r w:rsidRPr="00E35113">
        <w:rPr>
          <w:i/>
          <w:iCs/>
        </w:rPr>
        <w:t xml:space="preserve">  Smallbore Rifle shooting is a widely practiced sport intended for both juniors and adults. </w:t>
      </w:r>
      <w:r w:rsidRPr="00E35113">
        <w:rPr>
          <w:b/>
          <w:bCs/>
          <w:i/>
          <w:iCs/>
        </w:rPr>
        <w:t>The Intent &amp; Spirit</w:t>
      </w:r>
      <w:r w:rsidRPr="00E35113">
        <w:rPr>
          <w:i/>
          <w:iCs/>
        </w:rPr>
        <w:t xml:space="preserve"> of Smallbore rifle training is to promote target competitions with .22 caliber rimfire rifles.  We encourage the use of rifles &amp; ammunition that are relatively low-cost, readily available, and typically used during recreational target shooting.  Any firearm or item of equipment that is not mentioned in the CMP/NRA rules or that is contrary to the intent and spirit of the rules is subject to the determination of the Match Director. </w:t>
      </w:r>
    </w:p>
    <w:sectPr w:rsidR="00DB66AD" w:rsidRPr="00E35113" w:rsidSect="00EB3963">
      <w:footerReference w:type="default" r:id="rId12"/>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6955" w14:textId="77777777" w:rsidR="00B73521" w:rsidRDefault="00B73521" w:rsidP="00FC4BF9">
      <w:r>
        <w:separator/>
      </w:r>
    </w:p>
  </w:endnote>
  <w:endnote w:type="continuationSeparator" w:id="0">
    <w:p w14:paraId="2100E285" w14:textId="77777777" w:rsidR="00B73521" w:rsidRDefault="00B73521" w:rsidP="00FC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98739"/>
      <w:docPartObj>
        <w:docPartGallery w:val="Page Numbers (Bottom of Page)"/>
        <w:docPartUnique/>
      </w:docPartObj>
    </w:sdtPr>
    <w:sdtContent>
      <w:sdt>
        <w:sdtPr>
          <w:id w:val="-1769616900"/>
          <w:docPartObj>
            <w:docPartGallery w:val="Page Numbers (Top of Page)"/>
            <w:docPartUnique/>
          </w:docPartObj>
        </w:sdtPr>
        <w:sdtContent>
          <w:p w14:paraId="722590D9" w14:textId="57EEC81A" w:rsidR="00B216E7" w:rsidRDefault="00B216E7">
            <w:pPr>
              <w:pStyle w:val="Footer"/>
              <w:jc w:val="right"/>
            </w:pPr>
            <w:r w:rsidRPr="00B216E7">
              <w:rPr>
                <w:color w:val="0070C0"/>
              </w:rPr>
              <w:t xml:space="preserve">Page </w:t>
            </w:r>
            <w:r w:rsidRPr="00B216E7">
              <w:rPr>
                <w:b/>
                <w:bCs/>
                <w:color w:val="0070C0"/>
                <w:sz w:val="24"/>
                <w:szCs w:val="24"/>
              </w:rPr>
              <w:fldChar w:fldCharType="begin"/>
            </w:r>
            <w:r w:rsidRPr="00B216E7">
              <w:rPr>
                <w:b/>
                <w:bCs/>
                <w:color w:val="0070C0"/>
              </w:rPr>
              <w:instrText xml:space="preserve"> PAGE </w:instrText>
            </w:r>
            <w:r w:rsidRPr="00B216E7">
              <w:rPr>
                <w:b/>
                <w:bCs/>
                <w:color w:val="0070C0"/>
                <w:sz w:val="24"/>
                <w:szCs w:val="24"/>
              </w:rPr>
              <w:fldChar w:fldCharType="separate"/>
            </w:r>
            <w:r w:rsidRPr="00B216E7">
              <w:rPr>
                <w:b/>
                <w:bCs/>
                <w:noProof/>
                <w:color w:val="0070C0"/>
              </w:rPr>
              <w:t>2</w:t>
            </w:r>
            <w:r w:rsidRPr="00B216E7">
              <w:rPr>
                <w:b/>
                <w:bCs/>
                <w:color w:val="0070C0"/>
                <w:sz w:val="24"/>
                <w:szCs w:val="24"/>
              </w:rPr>
              <w:fldChar w:fldCharType="end"/>
            </w:r>
            <w:r w:rsidRPr="00B216E7">
              <w:rPr>
                <w:color w:val="0070C0"/>
              </w:rPr>
              <w:t xml:space="preserve"> of </w:t>
            </w:r>
            <w:r w:rsidRPr="00B216E7">
              <w:rPr>
                <w:b/>
                <w:bCs/>
                <w:color w:val="0070C0"/>
                <w:sz w:val="24"/>
                <w:szCs w:val="24"/>
              </w:rPr>
              <w:fldChar w:fldCharType="begin"/>
            </w:r>
            <w:r w:rsidRPr="00B216E7">
              <w:rPr>
                <w:b/>
                <w:bCs/>
                <w:color w:val="0070C0"/>
              </w:rPr>
              <w:instrText xml:space="preserve"> NUMPAGES  </w:instrText>
            </w:r>
            <w:r w:rsidRPr="00B216E7">
              <w:rPr>
                <w:b/>
                <w:bCs/>
                <w:color w:val="0070C0"/>
                <w:sz w:val="24"/>
                <w:szCs w:val="24"/>
              </w:rPr>
              <w:fldChar w:fldCharType="separate"/>
            </w:r>
            <w:r w:rsidRPr="00B216E7">
              <w:rPr>
                <w:b/>
                <w:bCs/>
                <w:noProof/>
                <w:color w:val="0070C0"/>
              </w:rPr>
              <w:t>2</w:t>
            </w:r>
            <w:r w:rsidRPr="00B216E7">
              <w:rPr>
                <w:b/>
                <w:bCs/>
                <w:color w:val="0070C0"/>
                <w:sz w:val="24"/>
                <w:szCs w:val="24"/>
              </w:rPr>
              <w:fldChar w:fldCharType="end"/>
            </w:r>
          </w:p>
        </w:sdtContent>
      </w:sdt>
    </w:sdtContent>
  </w:sdt>
  <w:p w14:paraId="75A8FB5B" w14:textId="139ABC3D" w:rsidR="00FC4BF9" w:rsidRDefault="00FC4BF9" w:rsidP="00FC4B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AAE7" w14:textId="77777777" w:rsidR="00B73521" w:rsidRDefault="00B73521" w:rsidP="00FC4BF9">
      <w:r>
        <w:separator/>
      </w:r>
    </w:p>
  </w:footnote>
  <w:footnote w:type="continuationSeparator" w:id="0">
    <w:p w14:paraId="71051DEA" w14:textId="77777777" w:rsidR="00B73521" w:rsidRDefault="00B73521" w:rsidP="00FC4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5CD"/>
    <w:multiLevelType w:val="hybridMultilevel"/>
    <w:tmpl w:val="6914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27395"/>
    <w:multiLevelType w:val="hybridMultilevel"/>
    <w:tmpl w:val="D20E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154775">
    <w:abstractNumId w:val="0"/>
  </w:num>
  <w:num w:numId="2" w16cid:durableId="436294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OzsLS0MDI0MjM3NjVS0lEKTi0uzszPAykwrAUAAQNKziwAAAA="/>
  </w:docVars>
  <w:rsids>
    <w:rsidRoot w:val="00EB31D2"/>
    <w:rsid w:val="00012A44"/>
    <w:rsid w:val="00014218"/>
    <w:rsid w:val="000251BB"/>
    <w:rsid w:val="00046A5D"/>
    <w:rsid w:val="00052C70"/>
    <w:rsid w:val="00063EF5"/>
    <w:rsid w:val="00080651"/>
    <w:rsid w:val="00086280"/>
    <w:rsid w:val="000A7076"/>
    <w:rsid w:val="000B04C9"/>
    <w:rsid w:val="000B75CC"/>
    <w:rsid w:val="000F2808"/>
    <w:rsid w:val="000F5A97"/>
    <w:rsid w:val="001051BE"/>
    <w:rsid w:val="00126C24"/>
    <w:rsid w:val="00133B9C"/>
    <w:rsid w:val="00151466"/>
    <w:rsid w:val="0015236A"/>
    <w:rsid w:val="0015424B"/>
    <w:rsid w:val="00175216"/>
    <w:rsid w:val="001B1DCC"/>
    <w:rsid w:val="001C2613"/>
    <w:rsid w:val="001C2B03"/>
    <w:rsid w:val="001D4255"/>
    <w:rsid w:val="001E1A68"/>
    <w:rsid w:val="001E490B"/>
    <w:rsid w:val="001E64BF"/>
    <w:rsid w:val="001E7C8F"/>
    <w:rsid w:val="001E7E88"/>
    <w:rsid w:val="002106C1"/>
    <w:rsid w:val="0021404A"/>
    <w:rsid w:val="0025134E"/>
    <w:rsid w:val="00266CF1"/>
    <w:rsid w:val="002807FA"/>
    <w:rsid w:val="00284DED"/>
    <w:rsid w:val="00292957"/>
    <w:rsid w:val="00294BB9"/>
    <w:rsid w:val="002960A5"/>
    <w:rsid w:val="002A7236"/>
    <w:rsid w:val="002B7D7F"/>
    <w:rsid w:val="002C1A89"/>
    <w:rsid w:val="002C6B14"/>
    <w:rsid w:val="002E580D"/>
    <w:rsid w:val="00307AC1"/>
    <w:rsid w:val="00317ECE"/>
    <w:rsid w:val="00343647"/>
    <w:rsid w:val="00351F26"/>
    <w:rsid w:val="00371905"/>
    <w:rsid w:val="00373D51"/>
    <w:rsid w:val="00393CE6"/>
    <w:rsid w:val="0039561A"/>
    <w:rsid w:val="003A047A"/>
    <w:rsid w:val="003A2636"/>
    <w:rsid w:val="003B1605"/>
    <w:rsid w:val="003B74E6"/>
    <w:rsid w:val="003F0DCE"/>
    <w:rsid w:val="00420DE3"/>
    <w:rsid w:val="00441C71"/>
    <w:rsid w:val="00443887"/>
    <w:rsid w:val="004471E4"/>
    <w:rsid w:val="00451A04"/>
    <w:rsid w:val="00457DE9"/>
    <w:rsid w:val="004B4DBB"/>
    <w:rsid w:val="004C3C34"/>
    <w:rsid w:val="004C6CE4"/>
    <w:rsid w:val="004E3CB0"/>
    <w:rsid w:val="00556772"/>
    <w:rsid w:val="00572519"/>
    <w:rsid w:val="005C0BAF"/>
    <w:rsid w:val="005D5A72"/>
    <w:rsid w:val="005F0005"/>
    <w:rsid w:val="00632090"/>
    <w:rsid w:val="0065526D"/>
    <w:rsid w:val="006A044C"/>
    <w:rsid w:val="006C288E"/>
    <w:rsid w:val="006D3436"/>
    <w:rsid w:val="006E66A4"/>
    <w:rsid w:val="006F5D57"/>
    <w:rsid w:val="00705CB0"/>
    <w:rsid w:val="00706FB4"/>
    <w:rsid w:val="007125F8"/>
    <w:rsid w:val="00712E2F"/>
    <w:rsid w:val="007274D4"/>
    <w:rsid w:val="00743814"/>
    <w:rsid w:val="00756415"/>
    <w:rsid w:val="007655FB"/>
    <w:rsid w:val="007A3DD2"/>
    <w:rsid w:val="007C5E1A"/>
    <w:rsid w:val="00825A61"/>
    <w:rsid w:val="00837589"/>
    <w:rsid w:val="00861F8E"/>
    <w:rsid w:val="00873469"/>
    <w:rsid w:val="00877F0D"/>
    <w:rsid w:val="0089473F"/>
    <w:rsid w:val="008E24B1"/>
    <w:rsid w:val="008E5A17"/>
    <w:rsid w:val="008E7F00"/>
    <w:rsid w:val="009001A5"/>
    <w:rsid w:val="009043EE"/>
    <w:rsid w:val="0090654B"/>
    <w:rsid w:val="0095108E"/>
    <w:rsid w:val="009934E4"/>
    <w:rsid w:val="009A01F0"/>
    <w:rsid w:val="009A0B67"/>
    <w:rsid w:val="009D07D5"/>
    <w:rsid w:val="009D39A8"/>
    <w:rsid w:val="009E40AE"/>
    <w:rsid w:val="00A11621"/>
    <w:rsid w:val="00A27EC3"/>
    <w:rsid w:val="00A51BC2"/>
    <w:rsid w:val="00A57E9A"/>
    <w:rsid w:val="00AA5EAC"/>
    <w:rsid w:val="00AB6A4B"/>
    <w:rsid w:val="00AD2E83"/>
    <w:rsid w:val="00AD7EE0"/>
    <w:rsid w:val="00AE74AF"/>
    <w:rsid w:val="00B04DB6"/>
    <w:rsid w:val="00B216E7"/>
    <w:rsid w:val="00B56861"/>
    <w:rsid w:val="00B60E99"/>
    <w:rsid w:val="00B73521"/>
    <w:rsid w:val="00BA7C29"/>
    <w:rsid w:val="00BD4A80"/>
    <w:rsid w:val="00BE71F3"/>
    <w:rsid w:val="00BF093F"/>
    <w:rsid w:val="00C11F4E"/>
    <w:rsid w:val="00C20ED3"/>
    <w:rsid w:val="00C325F0"/>
    <w:rsid w:val="00C4423F"/>
    <w:rsid w:val="00C46EAB"/>
    <w:rsid w:val="00C54DCD"/>
    <w:rsid w:val="00C7597B"/>
    <w:rsid w:val="00CA5A0B"/>
    <w:rsid w:val="00CB2455"/>
    <w:rsid w:val="00CC5019"/>
    <w:rsid w:val="00CE7F04"/>
    <w:rsid w:val="00CF7BE2"/>
    <w:rsid w:val="00D30CE5"/>
    <w:rsid w:val="00D45AED"/>
    <w:rsid w:val="00D51827"/>
    <w:rsid w:val="00D619E5"/>
    <w:rsid w:val="00DB0577"/>
    <w:rsid w:val="00DB05E0"/>
    <w:rsid w:val="00DB49FB"/>
    <w:rsid w:val="00DB66AD"/>
    <w:rsid w:val="00DC28C5"/>
    <w:rsid w:val="00DD1278"/>
    <w:rsid w:val="00DD1912"/>
    <w:rsid w:val="00DF27F1"/>
    <w:rsid w:val="00E20962"/>
    <w:rsid w:val="00E35113"/>
    <w:rsid w:val="00E4367D"/>
    <w:rsid w:val="00E504D0"/>
    <w:rsid w:val="00E55049"/>
    <w:rsid w:val="00EA34EC"/>
    <w:rsid w:val="00EA5F85"/>
    <w:rsid w:val="00EB0D77"/>
    <w:rsid w:val="00EB2B8F"/>
    <w:rsid w:val="00EB31D2"/>
    <w:rsid w:val="00EB3963"/>
    <w:rsid w:val="00EB51EC"/>
    <w:rsid w:val="00EC21E4"/>
    <w:rsid w:val="00EF312B"/>
    <w:rsid w:val="00EF6226"/>
    <w:rsid w:val="00F078CD"/>
    <w:rsid w:val="00F16DBD"/>
    <w:rsid w:val="00F27BCB"/>
    <w:rsid w:val="00F36FC3"/>
    <w:rsid w:val="00F71FD3"/>
    <w:rsid w:val="00F91179"/>
    <w:rsid w:val="00F94669"/>
    <w:rsid w:val="00FA79EC"/>
    <w:rsid w:val="00FC4BF9"/>
    <w:rsid w:val="00FC6F01"/>
    <w:rsid w:val="00FD6709"/>
    <w:rsid w:val="00FE2ADE"/>
    <w:rsid w:val="00FF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B701E"/>
  <w15:docId w15:val="{8C4782D6-3C27-4FBF-9CCA-900DE951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67"/>
  </w:style>
  <w:style w:type="paragraph" w:styleId="Heading1">
    <w:name w:val="heading 1"/>
    <w:basedOn w:val="Normal"/>
    <w:next w:val="Normal"/>
    <w:qFormat/>
    <w:rsid w:val="009A0B67"/>
    <w:pPr>
      <w:keepNext/>
      <w:outlineLvl w:val="0"/>
    </w:pPr>
    <w:rPr>
      <w:rFonts w:ascii="Arial" w:hAnsi="Arial"/>
      <w:sz w:val="28"/>
    </w:rPr>
  </w:style>
  <w:style w:type="paragraph" w:styleId="Heading2">
    <w:name w:val="heading 2"/>
    <w:basedOn w:val="Normal"/>
    <w:next w:val="Normal"/>
    <w:qFormat/>
    <w:rsid w:val="009A0B67"/>
    <w:pPr>
      <w:keepNext/>
      <w:jc w:val="center"/>
      <w:outlineLvl w:val="1"/>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0B67"/>
    <w:pPr>
      <w:jc w:val="center"/>
    </w:pPr>
    <w:rPr>
      <w:rFonts w:ascii="Arial" w:hAnsi="Arial"/>
      <w:sz w:val="28"/>
    </w:rPr>
  </w:style>
  <w:style w:type="character" w:styleId="Hyperlink">
    <w:name w:val="Hyperlink"/>
    <w:basedOn w:val="DefaultParagraphFont"/>
    <w:semiHidden/>
    <w:rsid w:val="009A0B67"/>
    <w:rPr>
      <w:color w:val="0000FF"/>
      <w:u w:val="single"/>
    </w:rPr>
  </w:style>
  <w:style w:type="character" w:styleId="FollowedHyperlink">
    <w:name w:val="FollowedHyperlink"/>
    <w:basedOn w:val="DefaultParagraphFont"/>
    <w:semiHidden/>
    <w:rsid w:val="009A0B67"/>
    <w:rPr>
      <w:color w:val="800080"/>
      <w:u w:val="single"/>
    </w:rPr>
  </w:style>
  <w:style w:type="paragraph" w:styleId="Header">
    <w:name w:val="header"/>
    <w:basedOn w:val="Normal"/>
    <w:link w:val="HeaderChar"/>
    <w:uiPriority w:val="99"/>
    <w:unhideWhenUsed/>
    <w:rsid w:val="00284DE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84DED"/>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84DED"/>
    <w:rPr>
      <w:color w:val="605E5C"/>
      <w:shd w:val="clear" w:color="auto" w:fill="E1DFDD"/>
    </w:rPr>
  </w:style>
  <w:style w:type="table" w:styleId="TableGrid">
    <w:name w:val="Table Grid"/>
    <w:basedOn w:val="TableNormal"/>
    <w:uiPriority w:val="59"/>
    <w:rsid w:val="00151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4BF9"/>
    <w:pPr>
      <w:tabs>
        <w:tab w:val="center" w:pos="4680"/>
        <w:tab w:val="right" w:pos="9360"/>
      </w:tabs>
    </w:pPr>
  </w:style>
  <w:style w:type="character" w:customStyle="1" w:styleId="FooterChar">
    <w:name w:val="Footer Char"/>
    <w:basedOn w:val="DefaultParagraphFont"/>
    <w:link w:val="Footer"/>
    <w:uiPriority w:val="99"/>
    <w:rsid w:val="00FC4BF9"/>
  </w:style>
  <w:style w:type="paragraph" w:customStyle="1" w:styleId="ydpbb513645msonormal">
    <w:name w:val="ydpbb513645msonormal"/>
    <w:basedOn w:val="Normal"/>
    <w:rsid w:val="00DB66AD"/>
    <w:pPr>
      <w:spacing w:before="100" w:beforeAutospacing="1" w:after="100" w:afterAutospacing="1"/>
    </w:pPr>
    <w:rPr>
      <w:sz w:val="24"/>
      <w:szCs w:val="24"/>
    </w:rPr>
  </w:style>
  <w:style w:type="paragraph" w:styleId="ListParagraph">
    <w:name w:val="List Paragraph"/>
    <w:basedOn w:val="Normal"/>
    <w:uiPriority w:val="34"/>
    <w:qFormat/>
    <w:rsid w:val="00EB0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mtc.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mp.org/" TargetMode="External"/><Relationship Id="rId5" Type="http://schemas.openxmlformats.org/officeDocument/2006/relationships/footnotes" Target="footnotes.xml"/><Relationship Id="rId10" Type="http://schemas.openxmlformats.org/officeDocument/2006/relationships/hyperlink" Target="mailto:wsnunn@gvtc.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San Antonio Rifle and Pistol Club</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Nunn</dc:creator>
  <cp:lastModifiedBy>Cameron Keating</cp:lastModifiedBy>
  <cp:revision>33</cp:revision>
  <cp:lastPrinted>2009-12-02T03:12:00Z</cp:lastPrinted>
  <dcterms:created xsi:type="dcterms:W3CDTF">2025-10-26T00:26:00Z</dcterms:created>
  <dcterms:modified xsi:type="dcterms:W3CDTF">2026-01-24T02:49:00Z</dcterms:modified>
</cp:coreProperties>
</file>