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DE" w:rsidRPr="00BC7B9A" w:rsidRDefault="00BC7B9A" w:rsidP="00A45618">
      <w:pPr>
        <w:spacing w:after="0"/>
        <w:jc w:val="center"/>
        <w:rPr>
          <w:b/>
          <w:sz w:val="36"/>
          <w:szCs w:val="36"/>
        </w:rPr>
      </w:pPr>
      <w:r w:rsidRPr="00BC7B9A">
        <w:rPr>
          <w:b/>
          <w:sz w:val="36"/>
          <w:szCs w:val="36"/>
        </w:rPr>
        <w:t xml:space="preserve">Food Sources of </w:t>
      </w:r>
      <w:r w:rsidRPr="00BC7B9A">
        <w:rPr>
          <w:b/>
          <w:color w:val="FFFFFF" w:themeColor="background1"/>
          <w:sz w:val="36"/>
          <w:szCs w:val="36"/>
          <w:highlight w:val="black"/>
        </w:rPr>
        <w:t>Essential Fatty Acids</w:t>
      </w:r>
    </w:p>
    <w:p w:rsidR="00BC7B9A" w:rsidRDefault="00BC7B9A" w:rsidP="00A45618">
      <w:pPr>
        <w:spacing w:after="0"/>
      </w:pPr>
    </w:p>
    <w:p w:rsidR="00A45618" w:rsidRDefault="00A45618" w:rsidP="00A45618">
      <w:pPr>
        <w:spacing w:after="0"/>
      </w:pPr>
      <w:r>
        <w:t xml:space="preserve">Humans are unable to synthesize </w:t>
      </w:r>
      <w:r w:rsidR="00514963">
        <w:t>the fat</w:t>
      </w:r>
      <w:r w:rsidR="00600260">
        <w:t>ty acid</w:t>
      </w:r>
      <w:r w:rsidR="00514963">
        <w:t xml:space="preserve">s </w:t>
      </w:r>
      <w:r>
        <w:t xml:space="preserve">linoleic </w:t>
      </w:r>
      <w:r w:rsidR="00514963">
        <w:t xml:space="preserve">acid </w:t>
      </w:r>
      <w:r w:rsidR="00600260">
        <w:t>and linolenic acid. Since these fats are</w:t>
      </w:r>
      <w:r>
        <w:t xml:space="preserve"> </w:t>
      </w:r>
      <w:r w:rsidR="00600260">
        <w:t xml:space="preserve">required for health, they must </w:t>
      </w:r>
      <w:r>
        <w:t xml:space="preserve">be </w:t>
      </w:r>
      <w:r w:rsidR="00600260">
        <w:t>obtained</w:t>
      </w:r>
      <w:r>
        <w:t xml:space="preserve"> through the foods we choose. </w:t>
      </w:r>
      <w:r w:rsidR="00514963">
        <w:t xml:space="preserve">Both of these fats are polyunsaturated, meaning they will be liquid rather than solid at room temperature. </w:t>
      </w:r>
      <w:r>
        <w:t>Linoleic acid belongs to the family of omega-6 fats and is readily</w:t>
      </w:r>
      <w:r w:rsidR="00600260">
        <w:t xml:space="preserve"> available from most plant oils</w:t>
      </w:r>
      <w:r>
        <w:t xml:space="preserve"> such as corn, safflower, soy, and sunflower oils. </w:t>
      </w:r>
      <w:r w:rsidR="0082394C">
        <w:t xml:space="preserve">These fats are </w:t>
      </w:r>
      <w:r w:rsidR="00514963">
        <w:t>f</w:t>
      </w:r>
      <w:r w:rsidR="0082394C">
        <w:t xml:space="preserve">ound abundantly in processed foods, baked goods, salad dressings, snack foods, and fried foods. </w:t>
      </w:r>
      <w:r>
        <w:t xml:space="preserve">Linolenic acid is an omega-3 fat found in deep-water </w:t>
      </w:r>
      <w:r w:rsidRPr="00A45618">
        <w:t>fish</w:t>
      </w:r>
      <w:r>
        <w:t xml:space="preserve"> and their oils, w</w:t>
      </w:r>
      <w:r w:rsidRPr="00A45618">
        <w:t>alnuts</w:t>
      </w:r>
      <w:r>
        <w:t xml:space="preserve"> and walnut oil</w:t>
      </w:r>
      <w:r w:rsidRPr="00A45618">
        <w:t xml:space="preserve">, </w:t>
      </w:r>
      <w:r>
        <w:t>flax seeds and flax seed oil, legumes</w:t>
      </w:r>
      <w:r w:rsidR="00C21404">
        <w:t xml:space="preserve"> (dried beans, peas, and lentils)</w:t>
      </w:r>
      <w:r>
        <w:t>, purslane (a green vegetable)</w:t>
      </w:r>
      <w:r w:rsidRPr="00A45618">
        <w:t xml:space="preserve">, </w:t>
      </w:r>
      <w:r>
        <w:t>pumpkin seeds, some plant oils (e</w:t>
      </w:r>
      <w:r w:rsidR="00600260">
        <w:t>.</w:t>
      </w:r>
      <w:r>
        <w:t>g</w:t>
      </w:r>
      <w:r w:rsidR="00600260">
        <w:t>.</w:t>
      </w:r>
      <w:r>
        <w:t xml:space="preserve">, canola </w:t>
      </w:r>
      <w:r w:rsidRPr="00A45618">
        <w:t>oil</w:t>
      </w:r>
      <w:r w:rsidR="00C21404">
        <w:t>, soy</w:t>
      </w:r>
      <w:r w:rsidR="00600260">
        <w:t>bean</w:t>
      </w:r>
      <w:r w:rsidR="00C21404">
        <w:t xml:space="preserve"> oil</w:t>
      </w:r>
      <w:r>
        <w:t xml:space="preserve">), </w:t>
      </w:r>
      <w:r w:rsidR="00C21404">
        <w:t xml:space="preserve">soy products, </w:t>
      </w:r>
      <w:r>
        <w:t xml:space="preserve">and some winter squashes. </w:t>
      </w:r>
    </w:p>
    <w:p w:rsidR="005E61C4" w:rsidRDefault="005E61C4" w:rsidP="00A45618">
      <w:pPr>
        <w:spacing w:after="0"/>
      </w:pPr>
    </w:p>
    <w:p w:rsidR="005E61C4" w:rsidRDefault="005E61C4" w:rsidP="00A45618">
      <w:pPr>
        <w:spacing w:after="0"/>
      </w:pPr>
      <w:r>
        <w:t>Presently there is not a Dietary Reference Intake recommendation for omega-3 fats</w:t>
      </w:r>
      <w:r w:rsidR="009C32C4">
        <w:t>, but the National Institutes of Health has recommended people consume at least 2% of their total daily calories as omega-3 fats</w:t>
      </w:r>
      <w:r>
        <w:t>.</w:t>
      </w:r>
      <w:r w:rsidR="009C32C4">
        <w:t xml:space="preserve"> If, for example, you ate 2000 calories per day, you </w:t>
      </w:r>
      <w:r w:rsidR="00600260">
        <w:t>sh</w:t>
      </w:r>
      <w:r w:rsidR="009C32C4">
        <w:t xml:space="preserve">ould include 2 grams of omega-3 fats in your diet. There is not yet consensus among nutrition professionals as to how much is needed and many have suggested higher levels of </w:t>
      </w:r>
      <w:r w:rsidR="00600260">
        <w:t xml:space="preserve">omega-3 intake of </w:t>
      </w:r>
      <w:r w:rsidR="009C32C4">
        <w:t xml:space="preserve">at least 4 grams per day. </w:t>
      </w:r>
      <w:r w:rsidR="00593D2C" w:rsidRPr="00593D2C">
        <w:t xml:space="preserve">Eating </w:t>
      </w:r>
      <w:r w:rsidR="00593D2C">
        <w:t xml:space="preserve">seafood and </w:t>
      </w:r>
      <w:r w:rsidR="00593D2C" w:rsidRPr="00593D2C">
        <w:t xml:space="preserve">fish such as salmon, halibut, </w:t>
      </w:r>
      <w:r w:rsidR="00593D2C">
        <w:t xml:space="preserve">and </w:t>
      </w:r>
      <w:r w:rsidR="00593D2C" w:rsidRPr="00593D2C">
        <w:t>tuna</w:t>
      </w:r>
      <w:r w:rsidR="00593D2C">
        <w:t xml:space="preserve"> 2-3 times a week is </w:t>
      </w:r>
      <w:r w:rsidR="004125E8">
        <w:t xml:space="preserve">a common way of increasing the </w:t>
      </w:r>
      <w:r w:rsidR="00593D2C">
        <w:t>intake of omega-3s.</w:t>
      </w:r>
    </w:p>
    <w:p w:rsidR="00593D2C" w:rsidRDefault="00593D2C" w:rsidP="00C21404">
      <w:pPr>
        <w:spacing w:after="0"/>
      </w:pPr>
    </w:p>
    <w:p w:rsidR="00072D73" w:rsidRDefault="00C21404" w:rsidP="00C21404">
      <w:pPr>
        <w:spacing w:after="0"/>
      </w:pPr>
      <w:r>
        <w:t>Both omega-6 and omega-3 essential fatty acids ar</w:t>
      </w:r>
      <w:r w:rsidR="00600260">
        <w:t xml:space="preserve">e important building blocks </w:t>
      </w:r>
      <w:r>
        <w:t xml:space="preserve">that participate in the body’s metabolism and </w:t>
      </w:r>
      <w:r w:rsidR="00600260">
        <w:t xml:space="preserve">building of </w:t>
      </w:r>
      <w:r>
        <w:t xml:space="preserve">membrane structures. In general, omega-6 fats tend to promote inflammation, constriction of the blood vessels, and </w:t>
      </w:r>
      <w:r w:rsidR="00072D73">
        <w:t xml:space="preserve">formation of blood cell clots. </w:t>
      </w:r>
      <w:r>
        <w:t>Omega-3 fats have the opposite effect</w:t>
      </w:r>
      <w:r w:rsidR="00600260">
        <w:t>: t</w:t>
      </w:r>
      <w:r>
        <w:t>hey’re anti-inflammatory, relax the blood vessels,</w:t>
      </w:r>
      <w:r w:rsidR="00072D73">
        <w:t xml:space="preserve"> and protect against blood cells aggregating together into clots.</w:t>
      </w:r>
    </w:p>
    <w:p w:rsidR="00C21404" w:rsidRDefault="00072D73" w:rsidP="00C21404">
      <w:pPr>
        <w:spacing w:after="0"/>
      </w:pPr>
      <w:r>
        <w:t xml:space="preserve"> </w:t>
      </w:r>
    </w:p>
    <w:p w:rsidR="00C21404" w:rsidRDefault="00C21404" w:rsidP="00C21404">
      <w:pPr>
        <w:spacing w:after="0"/>
      </w:pPr>
      <w:r>
        <w:t>Our hunter-gatherer ancestors are thought to have consumed equal amounts of omega-6s and omega-3s</w:t>
      </w:r>
      <w:r w:rsidR="00600260">
        <w:t>,</w:t>
      </w:r>
      <w:r>
        <w:t xml:space="preserve"> but today’s diet is quite unbalanced in that regard and has been estimated to </w:t>
      </w:r>
      <w:r w:rsidR="00600260">
        <w:t>contain</w:t>
      </w:r>
      <w:r>
        <w:t xml:space="preserve"> 14-25 times</w:t>
      </w:r>
      <w:r w:rsidR="00600260">
        <w:t xml:space="preserve"> as much omega-6 as omega-3 fat</w:t>
      </w:r>
      <w:r>
        <w:t xml:space="preserve">. In addition to increasing your omega-3 intake, reducing the amount of omega-6 fats you eat will also help to re-establish a healthier balance between omega-6 and omega-3 fats. </w:t>
      </w:r>
    </w:p>
    <w:p w:rsidR="00C21404" w:rsidRDefault="00C21404" w:rsidP="00C21404">
      <w:pPr>
        <w:spacing w:after="0"/>
      </w:pPr>
    </w:p>
    <w:p w:rsidR="00C21404" w:rsidRDefault="001F0817" w:rsidP="00A45618">
      <w:pPr>
        <w:spacing w:after="0"/>
      </w:pPr>
      <w:r>
        <w:t xml:space="preserve">The following table provides omega-3 levels of </w:t>
      </w:r>
      <w:r w:rsidR="00600260">
        <w:t xml:space="preserve">some </w:t>
      </w:r>
      <w:r>
        <w:t>commonly eaten foods.</w:t>
      </w:r>
    </w:p>
    <w:p w:rsidR="001F0817" w:rsidRDefault="001F0817" w:rsidP="00A45618">
      <w:pPr>
        <w:spacing w:after="0"/>
      </w:pPr>
    </w:p>
    <w:tbl>
      <w:tblPr>
        <w:tblW w:w="0" w:type="auto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67"/>
        <w:gridCol w:w="110"/>
        <w:gridCol w:w="1472"/>
        <w:gridCol w:w="1980"/>
      </w:tblGrid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  <w:rPr>
                <w:b/>
                <w:bCs/>
                <w:u w:val="single"/>
              </w:rPr>
            </w:pPr>
            <w:r w:rsidRPr="00D908C3">
              <w:rPr>
                <w:b/>
                <w:bCs/>
                <w:u w:val="single"/>
              </w:rPr>
              <w:t>Food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  <w:rPr>
                <w:b/>
                <w:bCs/>
                <w:u w:val="single"/>
              </w:rPr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  <w:rPr>
                <w:b/>
                <w:bCs/>
                <w:u w:val="single"/>
              </w:rPr>
            </w:pPr>
            <w:r w:rsidRPr="00D908C3">
              <w:rPr>
                <w:b/>
                <w:bCs/>
                <w:u w:val="single"/>
              </w:rPr>
              <w:t>Serving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600260" w:rsidP="00D908C3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D908C3">
              <w:rPr>
                <w:b/>
                <w:bCs/>
                <w:u w:val="single"/>
              </w:rPr>
              <w:t>Omega</w:t>
            </w:r>
            <w:r w:rsidR="00D908C3" w:rsidRPr="00D908C3">
              <w:rPr>
                <w:b/>
                <w:bCs/>
                <w:u w:val="single"/>
              </w:rPr>
              <w:t>-3 fatty acids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Flax seeds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>
              <w:t>1/4 cup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7.0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 xml:space="preserve">Walnuts 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>
              <w:t>1/4 cup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2.3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Chinook salmon, baked/broiled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4.0 oz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2.1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Scallops, baked/broiled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4.0 oz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1.1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 xml:space="preserve">Soybeans, cooked 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1 cup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1.0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lastRenderedPageBreak/>
              <w:t>Halibut, baked/broiled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4.0 oz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0.6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Shrimp, steamed, boiled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4.0 oz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0.4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Snapper, baked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4.0 oz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0.4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Tofu, raw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4.0 oz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0.4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Winter squash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1 cup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0.3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Tuna, yellowfin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4.0 oz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0.3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Cod, baked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4.0 oz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0.3 g</w:t>
            </w:r>
          </w:p>
        </w:tc>
      </w:tr>
      <w:tr w:rsidR="00D908C3" w:rsidRPr="00D908C3" w:rsidTr="00D908C3">
        <w:trPr>
          <w:tblCellSpacing w:w="0" w:type="dxa"/>
        </w:trPr>
        <w:tc>
          <w:tcPr>
            <w:tcW w:w="3067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Kidney beans</w:t>
            </w:r>
          </w:p>
        </w:tc>
        <w:tc>
          <w:tcPr>
            <w:tcW w:w="110" w:type="dxa"/>
          </w:tcPr>
          <w:p w:rsidR="00D908C3" w:rsidRPr="00D908C3" w:rsidRDefault="00D908C3" w:rsidP="00D908C3">
            <w:pPr>
              <w:spacing w:after="0"/>
            </w:pPr>
          </w:p>
        </w:tc>
        <w:tc>
          <w:tcPr>
            <w:tcW w:w="1472" w:type="dxa"/>
            <w:vAlign w:val="center"/>
            <w:hideMark/>
          </w:tcPr>
          <w:p w:rsidR="00D908C3" w:rsidRPr="00D908C3" w:rsidRDefault="00D908C3" w:rsidP="00D908C3">
            <w:pPr>
              <w:spacing w:after="0"/>
            </w:pPr>
            <w:r w:rsidRPr="00D908C3">
              <w:t>1 cup</w:t>
            </w:r>
          </w:p>
        </w:tc>
        <w:tc>
          <w:tcPr>
            <w:tcW w:w="1980" w:type="dxa"/>
            <w:vAlign w:val="center"/>
            <w:hideMark/>
          </w:tcPr>
          <w:p w:rsidR="00D908C3" w:rsidRPr="00D908C3" w:rsidRDefault="00D908C3" w:rsidP="00D908C3">
            <w:pPr>
              <w:spacing w:after="0"/>
              <w:jc w:val="center"/>
            </w:pPr>
            <w:r w:rsidRPr="00D908C3">
              <w:t>0.3 g</w:t>
            </w:r>
          </w:p>
        </w:tc>
      </w:tr>
    </w:tbl>
    <w:p w:rsidR="00D908C3" w:rsidRDefault="00D908C3" w:rsidP="00D908C3">
      <w:pPr>
        <w:spacing w:after="0"/>
      </w:pPr>
    </w:p>
    <w:p w:rsidR="004125E8" w:rsidRDefault="00D908C3" w:rsidP="00D908C3">
      <w:pPr>
        <w:spacing w:after="0"/>
      </w:pPr>
      <w:r w:rsidRPr="00D908C3">
        <w:rPr>
          <w:b/>
        </w:rPr>
        <w:t>Source</w:t>
      </w:r>
      <w:r w:rsidR="004125E8">
        <w:rPr>
          <w:b/>
        </w:rPr>
        <w:t>s</w:t>
      </w:r>
      <w:r w:rsidRPr="00D908C3">
        <w:rPr>
          <w:b/>
        </w:rPr>
        <w:t>:</w:t>
      </w:r>
      <w:r>
        <w:t xml:space="preserve"> </w:t>
      </w:r>
    </w:p>
    <w:p w:rsidR="004125E8" w:rsidRDefault="004125E8" w:rsidP="00600260">
      <w:pPr>
        <w:pStyle w:val="ListParagraph"/>
        <w:numPr>
          <w:ilvl w:val="0"/>
          <w:numId w:val="1"/>
        </w:numPr>
        <w:spacing w:after="0"/>
      </w:pPr>
      <w:r w:rsidRPr="004125E8">
        <w:t xml:space="preserve">U.S. Department of Agriculture, Agricultural Research Service. 2010. USDA National Nutrient </w:t>
      </w:r>
      <w:r w:rsidR="00600260" w:rsidRPr="004125E8">
        <w:t xml:space="preserve">Database </w:t>
      </w:r>
      <w:r w:rsidR="00600260">
        <w:t>for</w:t>
      </w:r>
      <w:r w:rsidRPr="004125E8">
        <w:t xml:space="preserve"> Standard Reference, Release 23. Nutrient Data Laboratory Home Page, </w:t>
      </w:r>
      <w:r>
        <w:t xml:space="preserve">available at </w:t>
      </w:r>
    </w:p>
    <w:p w:rsidR="004125E8" w:rsidRDefault="003A5C65" w:rsidP="00600260">
      <w:pPr>
        <w:pStyle w:val="ListParagraph"/>
        <w:spacing w:after="0"/>
      </w:pPr>
      <w:hyperlink r:id="rId5" w:history="1">
        <w:r w:rsidR="004125E8" w:rsidRPr="004125E8">
          <w:t>http://www.ars.usda.gov/ba/bhnrc/ndl</w:t>
        </w:r>
      </w:hyperlink>
    </w:p>
    <w:p w:rsidR="004125E8" w:rsidRDefault="004125E8" w:rsidP="00600260">
      <w:pPr>
        <w:pStyle w:val="ListParagraph"/>
        <w:numPr>
          <w:ilvl w:val="0"/>
          <w:numId w:val="1"/>
        </w:numPr>
        <w:spacing w:after="0"/>
      </w:pPr>
      <w:r w:rsidRPr="004125E8">
        <w:t xml:space="preserve">Kris-Etherton PM, Harris WS, Appel LJ. Fish consumption, fish oil, omega-3 fatty acids, and cardiovascular disease. Circulation 2002;106:2747–57. </w:t>
      </w:r>
    </w:p>
    <w:p w:rsidR="00D908C3" w:rsidRPr="00D908C3" w:rsidRDefault="00D908C3" w:rsidP="00600260">
      <w:pPr>
        <w:pStyle w:val="ListParagraph"/>
        <w:numPr>
          <w:ilvl w:val="0"/>
          <w:numId w:val="1"/>
        </w:numPr>
        <w:spacing w:after="0"/>
      </w:pPr>
      <w:r w:rsidRPr="00D908C3">
        <w:t xml:space="preserve">He K, Liu K, Daviglus ML, Mayer-Davis E, Jenny NS, Jiang R, Ouyang P, Steffen LM, Siscovick D, Wu C, Barr RG, Tsai M, Burke GL. </w:t>
      </w:r>
      <w:hyperlink r:id="rId6" w:history="1">
        <w:r w:rsidRPr="00D908C3">
          <w:t>Intakes of long-chain n-3 polyunsaturated fatty acids and fish in relation to measurements of subclinical atherosclerosis.</w:t>
        </w:r>
      </w:hyperlink>
      <w:r>
        <w:t xml:space="preserve"> </w:t>
      </w:r>
      <w:r w:rsidRPr="00D908C3">
        <w:t>Am J Clin Nutr. 2008;88:1111-8.</w:t>
      </w:r>
    </w:p>
    <w:p w:rsidR="00D908C3" w:rsidRDefault="00D908C3" w:rsidP="00D908C3">
      <w:pPr>
        <w:spacing w:after="0"/>
      </w:pPr>
    </w:p>
    <w:p w:rsidR="00032661" w:rsidRDefault="00032661" w:rsidP="00D908C3">
      <w:pPr>
        <w:spacing w:after="0"/>
      </w:pPr>
    </w:p>
    <w:p w:rsidR="004125E8" w:rsidRDefault="004125E8">
      <w:pPr>
        <w:spacing w:after="0"/>
      </w:pPr>
    </w:p>
    <w:sectPr w:rsidR="004125E8" w:rsidSect="00910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11C5E"/>
    <w:multiLevelType w:val="hybridMultilevel"/>
    <w:tmpl w:val="0764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BC7B9A"/>
    <w:rsid w:val="000263D2"/>
    <w:rsid w:val="00032661"/>
    <w:rsid w:val="000355F7"/>
    <w:rsid w:val="00072D73"/>
    <w:rsid w:val="00094542"/>
    <w:rsid w:val="000C6A48"/>
    <w:rsid w:val="000D1C98"/>
    <w:rsid w:val="001E53D0"/>
    <w:rsid w:val="001F0817"/>
    <w:rsid w:val="00267D2F"/>
    <w:rsid w:val="00277E60"/>
    <w:rsid w:val="002A3907"/>
    <w:rsid w:val="003A5C65"/>
    <w:rsid w:val="003E294B"/>
    <w:rsid w:val="003E647D"/>
    <w:rsid w:val="004125E8"/>
    <w:rsid w:val="00440816"/>
    <w:rsid w:val="005033C8"/>
    <w:rsid w:val="00514963"/>
    <w:rsid w:val="00544221"/>
    <w:rsid w:val="00573AB4"/>
    <w:rsid w:val="00593D2C"/>
    <w:rsid w:val="005D7A72"/>
    <w:rsid w:val="005E61C4"/>
    <w:rsid w:val="00600260"/>
    <w:rsid w:val="00710ECD"/>
    <w:rsid w:val="00722CD5"/>
    <w:rsid w:val="007700E1"/>
    <w:rsid w:val="00773546"/>
    <w:rsid w:val="007865A2"/>
    <w:rsid w:val="00792F63"/>
    <w:rsid w:val="00816CF6"/>
    <w:rsid w:val="0082394C"/>
    <w:rsid w:val="008D2D27"/>
    <w:rsid w:val="008E4CB4"/>
    <w:rsid w:val="009105DE"/>
    <w:rsid w:val="009C32C4"/>
    <w:rsid w:val="00A23EEE"/>
    <w:rsid w:val="00A45618"/>
    <w:rsid w:val="00B80D15"/>
    <w:rsid w:val="00BB6799"/>
    <w:rsid w:val="00BC7B9A"/>
    <w:rsid w:val="00C14514"/>
    <w:rsid w:val="00C21404"/>
    <w:rsid w:val="00C35839"/>
    <w:rsid w:val="00D31951"/>
    <w:rsid w:val="00D57BCC"/>
    <w:rsid w:val="00D908C3"/>
    <w:rsid w:val="00E62F4B"/>
    <w:rsid w:val="00F25192"/>
    <w:rsid w:val="00FA08BF"/>
    <w:rsid w:val="00FE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8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.proxy.lib.fsu.edu/pubmed/18842801" TargetMode="External"/><Relationship Id="rId5" Type="http://schemas.openxmlformats.org/officeDocument/2006/relationships/hyperlink" Target="http://www.ars.usda.gov/ba/bhnrc/n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joeldahms</cp:lastModifiedBy>
  <cp:revision>13</cp:revision>
  <dcterms:created xsi:type="dcterms:W3CDTF">2011-09-25T14:20:00Z</dcterms:created>
  <dcterms:modified xsi:type="dcterms:W3CDTF">2011-10-03T23:17:00Z</dcterms:modified>
</cp:coreProperties>
</file>