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98" w:rsidRDefault="005A5BD6" w:rsidP="00A52998">
      <w:pPr>
        <w:pStyle w:val="Default"/>
      </w:pP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6EF8563" wp14:editId="6DDD08D2">
            <wp:simplePos x="0" y="0"/>
            <wp:positionH relativeFrom="page">
              <wp:align>center</wp:align>
            </wp:positionH>
            <wp:positionV relativeFrom="paragraph">
              <wp:posOffset>-429260</wp:posOffset>
            </wp:positionV>
            <wp:extent cx="1152525" cy="11669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6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04" w:type="dxa"/>
        <w:tblInd w:w="-4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67"/>
        <w:gridCol w:w="137"/>
      </w:tblGrid>
      <w:tr w:rsidR="00B958B0" w:rsidTr="00B958B0">
        <w:trPr>
          <w:trHeight w:val="412"/>
        </w:trPr>
        <w:tc>
          <w:tcPr>
            <w:tcW w:w="10104" w:type="dxa"/>
            <w:gridSpan w:val="2"/>
          </w:tcPr>
          <w:p w:rsidR="005A5BD6" w:rsidRDefault="005A5BD6" w:rsidP="00B958B0">
            <w:pPr>
              <w:pStyle w:val="Default"/>
              <w:ind w:left="-491" w:firstLine="491"/>
              <w:jc w:val="center"/>
              <w:rPr>
                <w:b/>
                <w:bCs/>
                <w:sz w:val="36"/>
                <w:szCs w:val="36"/>
              </w:rPr>
            </w:pPr>
          </w:p>
          <w:p w:rsidR="005A5BD6" w:rsidRDefault="005A5BD6" w:rsidP="00B958B0">
            <w:pPr>
              <w:pStyle w:val="Default"/>
              <w:ind w:left="-491" w:firstLine="491"/>
              <w:jc w:val="center"/>
              <w:rPr>
                <w:b/>
                <w:bCs/>
                <w:sz w:val="36"/>
                <w:szCs w:val="36"/>
              </w:rPr>
            </w:pPr>
          </w:p>
          <w:p w:rsidR="00B958B0" w:rsidRPr="00B958B0" w:rsidRDefault="00B958B0" w:rsidP="00B958B0">
            <w:pPr>
              <w:pStyle w:val="Default"/>
              <w:ind w:left="-491" w:firstLine="491"/>
              <w:jc w:val="center"/>
              <w:rPr>
                <w:b/>
                <w:bCs/>
                <w:sz w:val="36"/>
                <w:szCs w:val="36"/>
              </w:rPr>
            </w:pPr>
            <w:r w:rsidRPr="00B958B0">
              <w:rPr>
                <w:b/>
                <w:bCs/>
                <w:sz w:val="36"/>
                <w:szCs w:val="36"/>
              </w:rPr>
              <w:t>Impact Statement Report 2017-18</w:t>
            </w:r>
          </w:p>
          <w:p w:rsidR="00B958B0" w:rsidRDefault="00B958B0" w:rsidP="00B958B0">
            <w:pPr>
              <w:pStyle w:val="Default"/>
              <w:ind w:left="-491" w:firstLine="491"/>
              <w:rPr>
                <w:b/>
                <w:bCs/>
                <w:sz w:val="23"/>
                <w:szCs w:val="23"/>
              </w:rPr>
            </w:pPr>
          </w:p>
          <w:p w:rsidR="00B958B0" w:rsidRPr="00B958B0" w:rsidRDefault="00B958B0" w:rsidP="00B958B0">
            <w:pPr>
              <w:pStyle w:val="Default"/>
              <w:ind w:left="-491" w:firstLine="491"/>
              <w:rPr>
                <w:sz w:val="28"/>
                <w:szCs w:val="28"/>
              </w:rPr>
            </w:pPr>
            <w:r w:rsidRPr="00B958B0">
              <w:rPr>
                <w:b/>
                <w:bCs/>
                <w:sz w:val="28"/>
                <w:szCs w:val="28"/>
              </w:rPr>
              <w:t xml:space="preserve">Focus: Disadvantaged Students (DS) </w:t>
            </w:r>
          </w:p>
          <w:p w:rsidR="00B958B0" w:rsidRPr="00B958B0" w:rsidRDefault="00B958B0" w:rsidP="00B958B0">
            <w:pPr>
              <w:pStyle w:val="Default"/>
              <w:ind w:left="-491" w:firstLine="491"/>
              <w:rPr>
                <w:b/>
                <w:sz w:val="28"/>
                <w:szCs w:val="28"/>
              </w:rPr>
            </w:pPr>
            <w:r w:rsidRPr="00B958B0">
              <w:rPr>
                <w:b/>
                <w:sz w:val="28"/>
                <w:szCs w:val="28"/>
              </w:rPr>
              <w:t xml:space="preserve">Looked After Children (LAC) </w:t>
            </w:r>
          </w:p>
          <w:p w:rsidR="00B958B0" w:rsidRDefault="00B958B0" w:rsidP="00B958B0">
            <w:pPr>
              <w:pStyle w:val="Default"/>
              <w:ind w:left="-491" w:firstLine="491"/>
              <w:rPr>
                <w:sz w:val="23"/>
                <w:szCs w:val="23"/>
              </w:rPr>
            </w:pPr>
          </w:p>
          <w:p w:rsidR="00B958B0" w:rsidRDefault="00B958B0" w:rsidP="00B958B0">
            <w:pPr>
              <w:pStyle w:val="Default"/>
              <w:ind w:left="-491" w:firstLine="491"/>
              <w:rPr>
                <w:sz w:val="23"/>
                <w:szCs w:val="23"/>
              </w:rPr>
            </w:pPr>
          </w:p>
        </w:tc>
      </w:tr>
      <w:tr w:rsidR="00A52998" w:rsidTr="00B958B0">
        <w:trPr>
          <w:gridAfter w:val="1"/>
          <w:wAfter w:w="137" w:type="dxa"/>
          <w:trHeight w:val="5136"/>
        </w:trPr>
        <w:tc>
          <w:tcPr>
            <w:tcW w:w="9967" w:type="dxa"/>
          </w:tcPr>
          <w:p w:rsidR="00A52998" w:rsidRPr="00512720" w:rsidRDefault="00A52998">
            <w:pPr>
              <w:pStyle w:val="Default"/>
              <w:rPr>
                <w:b/>
                <w:bCs/>
                <w:i/>
                <w:sz w:val="28"/>
                <w:szCs w:val="28"/>
              </w:rPr>
            </w:pPr>
            <w:r w:rsidRPr="00512720">
              <w:rPr>
                <w:b/>
                <w:bCs/>
                <w:i/>
                <w:sz w:val="28"/>
                <w:szCs w:val="28"/>
              </w:rPr>
              <w:t>Key Performance Indicator – Data Summary: KS4</w:t>
            </w:r>
            <w:r w:rsidR="00DB66E5" w:rsidRPr="00512720">
              <w:rPr>
                <w:b/>
                <w:bCs/>
                <w:i/>
                <w:sz w:val="28"/>
                <w:szCs w:val="28"/>
              </w:rPr>
              <w:t xml:space="preserve"> (Year 11)</w:t>
            </w:r>
            <w:r w:rsidRPr="00512720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B958B0" w:rsidRDefault="00B958B0">
            <w:pPr>
              <w:pStyle w:val="Default"/>
              <w:rPr>
                <w:sz w:val="23"/>
                <w:szCs w:val="23"/>
              </w:rPr>
            </w:pPr>
          </w:p>
          <w:p w:rsidR="00A52998" w:rsidRPr="00B958B0" w:rsidRDefault="00A52998">
            <w:pPr>
              <w:pStyle w:val="Default"/>
              <w:rPr>
                <w:sz w:val="28"/>
                <w:szCs w:val="28"/>
              </w:rPr>
            </w:pPr>
            <w:r w:rsidRPr="00B958B0">
              <w:rPr>
                <w:b/>
                <w:bCs/>
                <w:sz w:val="28"/>
                <w:szCs w:val="28"/>
              </w:rPr>
              <w:t xml:space="preserve">Prior Attainment Data </w:t>
            </w:r>
          </w:p>
          <w:p w:rsidR="00A52998" w:rsidRPr="00B958B0" w:rsidRDefault="00A52998">
            <w:pPr>
              <w:pStyle w:val="Default"/>
            </w:pPr>
            <w:r>
              <w:rPr>
                <w:sz w:val="22"/>
                <w:szCs w:val="22"/>
              </w:rPr>
              <w:t xml:space="preserve">• </w:t>
            </w:r>
            <w:r w:rsidRPr="00B958B0">
              <w:t xml:space="preserve">There were 32 disadvantaged students in the current Y11 cohort. The average KS2 prior achievement of the DS cohort was 4.58, weaker than that of the non-DS cohort which was 4.74. </w:t>
            </w:r>
          </w:p>
          <w:p w:rsidR="00A52998" w:rsidRPr="00B958B0" w:rsidRDefault="00A52998">
            <w:pPr>
              <w:pStyle w:val="Default"/>
            </w:pPr>
          </w:p>
          <w:p w:rsidR="00A52998" w:rsidRPr="00B958B0" w:rsidRDefault="00A52998">
            <w:pPr>
              <w:pStyle w:val="Default"/>
            </w:pPr>
            <w:r w:rsidRPr="00B958B0">
              <w:t>● 31%</w:t>
            </w:r>
            <w:r w:rsidR="00B958B0">
              <w:t xml:space="preserve"> of the DS cohort were</w:t>
            </w:r>
            <w:r w:rsidRPr="00B958B0">
              <w:t xml:space="preserve"> high prior attainment students, with 50% being Middle Prior Attainment and 19% being in the Low Prior Attainment band. </w:t>
            </w:r>
          </w:p>
          <w:p w:rsidR="00A52998" w:rsidRPr="00B958B0" w:rsidRDefault="00A52998">
            <w:pPr>
              <w:pStyle w:val="Default"/>
            </w:pPr>
          </w:p>
          <w:p w:rsidR="00A52998" w:rsidRPr="00B958B0" w:rsidRDefault="00A52998">
            <w:pPr>
              <w:pStyle w:val="Default"/>
            </w:pPr>
            <w:r w:rsidRPr="00B958B0">
              <w:t xml:space="preserve">● This data represents the performance of all 32 disadvantaged students. </w:t>
            </w:r>
            <w:r w:rsidR="00DB66E5" w:rsidRPr="00B958B0">
              <w:t>However,</w:t>
            </w:r>
            <w:r w:rsidRPr="00B958B0">
              <w:t xml:space="preserve"> one studen</w:t>
            </w:r>
            <w:r w:rsidR="00B958B0">
              <w:t>t was</w:t>
            </w:r>
            <w:r w:rsidRPr="00B958B0">
              <w:t xml:space="preserve"> educated at the South Leicestershire Behaviour partnership fo</w:t>
            </w:r>
            <w:r w:rsidR="005A5BD6">
              <w:t>r all of KS4 and one student was</w:t>
            </w:r>
            <w:r w:rsidRPr="00B958B0">
              <w:t xml:space="preserve"> edu</w:t>
            </w:r>
            <w:r w:rsidR="00DB66E5" w:rsidRPr="00B958B0">
              <w:t xml:space="preserve">cated at </w:t>
            </w:r>
            <w:r w:rsidR="005A5BD6">
              <w:t xml:space="preserve">the </w:t>
            </w:r>
            <w:r w:rsidR="00DB66E5" w:rsidRPr="00B958B0">
              <w:t>hospital school since November of year 10.</w:t>
            </w:r>
            <w:r w:rsidR="00B958B0">
              <w:t xml:space="preserve">  Two students in the year 11 DS cohort had</w:t>
            </w:r>
            <w:r w:rsidR="005A5BD6">
              <w:t xml:space="preserve"> below </w:t>
            </w:r>
            <w:r w:rsidR="00B958B0">
              <w:t>50% attendance due to significant external barriers.</w:t>
            </w:r>
          </w:p>
          <w:p w:rsidR="00A52998" w:rsidRPr="00B958B0" w:rsidRDefault="00A52998">
            <w:pPr>
              <w:pStyle w:val="Default"/>
            </w:pPr>
          </w:p>
          <w:p w:rsidR="00DB66E5" w:rsidRDefault="00A529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● </w:t>
            </w:r>
            <w:r>
              <w:rPr>
                <w:b/>
                <w:bCs/>
                <w:sz w:val="22"/>
                <w:szCs w:val="22"/>
              </w:rPr>
              <w:t xml:space="preserve">LAC </w:t>
            </w:r>
            <w:r w:rsidR="00DB66E5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B66E5">
              <w:rPr>
                <w:b/>
                <w:bCs/>
                <w:sz w:val="22"/>
                <w:szCs w:val="22"/>
              </w:rPr>
              <w:t>No LAC students in year 11</w:t>
            </w:r>
          </w:p>
          <w:p w:rsidR="00DB66E5" w:rsidRDefault="00DB66E5">
            <w:pPr>
              <w:pStyle w:val="Default"/>
              <w:rPr>
                <w:sz w:val="22"/>
                <w:szCs w:val="22"/>
              </w:rPr>
            </w:pPr>
          </w:p>
          <w:p w:rsidR="00A52998" w:rsidRPr="00074745" w:rsidRDefault="00A52998" w:rsidP="00DB66E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74745">
              <w:rPr>
                <w:b/>
                <w:bCs/>
                <w:sz w:val="28"/>
                <w:szCs w:val="28"/>
              </w:rPr>
              <w:t xml:space="preserve">Impact Data </w:t>
            </w:r>
            <w:r w:rsidR="00843216" w:rsidRPr="00074745">
              <w:rPr>
                <w:b/>
                <w:bCs/>
                <w:sz w:val="28"/>
                <w:szCs w:val="28"/>
              </w:rPr>
              <w:t>Year 11</w:t>
            </w:r>
          </w:p>
          <w:p w:rsidR="00843216" w:rsidRPr="00074745" w:rsidRDefault="00843216" w:rsidP="00DB66E5">
            <w:pPr>
              <w:pStyle w:val="Default"/>
              <w:rPr>
                <w:sz w:val="23"/>
                <w:szCs w:val="23"/>
              </w:rPr>
            </w:pPr>
          </w:p>
          <w:p w:rsidR="00E97E8C" w:rsidRPr="00074745" w:rsidRDefault="00A52998" w:rsidP="005A5BD6">
            <w:pPr>
              <w:pStyle w:val="Default"/>
            </w:pPr>
            <w:r w:rsidRPr="00074745">
              <w:t>●</w:t>
            </w:r>
            <w:r w:rsidR="00980D6D" w:rsidRPr="00074745">
              <w:t xml:space="preserve"> </w:t>
            </w:r>
            <w:r w:rsidR="00E97E8C" w:rsidRPr="00074745">
              <w:t xml:space="preserve">   </w:t>
            </w:r>
            <w:r w:rsidR="00980D6D" w:rsidRPr="00074745">
              <w:t>38</w:t>
            </w:r>
            <w:r w:rsidRPr="00074745">
              <w:t>% o</w:t>
            </w:r>
            <w:r w:rsidR="00DB66E5" w:rsidRPr="00074745">
              <w:t>f the DS cohort</w:t>
            </w:r>
            <w:r w:rsidR="00980D6D" w:rsidRPr="00074745">
              <w:t xml:space="preserve"> achieved 5+ </w:t>
            </w:r>
            <w:r w:rsidR="00DB66E5" w:rsidRPr="00074745">
              <w:t>standard</w:t>
            </w:r>
            <w:r w:rsidR="00980D6D" w:rsidRPr="00074745">
              <w:t xml:space="preserve"> pass including</w:t>
            </w:r>
            <w:r w:rsidRPr="00074745">
              <w:t xml:space="preserve"> both Englis</w:t>
            </w:r>
            <w:r w:rsidR="00DB66E5" w:rsidRPr="00074745">
              <w:t>h and Maths</w:t>
            </w:r>
            <w:r w:rsidR="00980D6D" w:rsidRPr="00074745">
              <w:t xml:space="preserve"> compared to </w:t>
            </w:r>
            <w:r w:rsidR="00512720" w:rsidRPr="00074745">
              <w:t xml:space="preserve">      </w:t>
            </w:r>
            <w:r w:rsidR="005A5BD6" w:rsidRPr="00074745">
              <w:t xml:space="preserve">      </w:t>
            </w:r>
            <w:r w:rsidR="00F36A4E" w:rsidRPr="00074745">
              <w:t xml:space="preserve">    </w:t>
            </w:r>
            <w:r w:rsidR="00980D6D" w:rsidRPr="00074745">
              <w:t>29</w:t>
            </w:r>
            <w:r w:rsidR="00843216" w:rsidRPr="00074745">
              <w:t>% predicted in the Autumn term of year 11</w:t>
            </w:r>
            <w:r w:rsidR="00685FC1" w:rsidRPr="00074745">
              <w:t xml:space="preserve">.  </w:t>
            </w:r>
          </w:p>
          <w:p w:rsidR="00A52998" w:rsidRPr="00074745" w:rsidRDefault="00685FC1" w:rsidP="00512720">
            <w:pPr>
              <w:pStyle w:val="Default"/>
              <w:numPr>
                <w:ilvl w:val="0"/>
                <w:numId w:val="3"/>
              </w:numPr>
              <w:ind w:left="360"/>
            </w:pPr>
            <w:r w:rsidRPr="00074745">
              <w:t xml:space="preserve">100% of </w:t>
            </w:r>
            <w:r w:rsidR="00E97E8C" w:rsidRPr="00074745">
              <w:t>students targeted to attend T7 sessions in English and Maths achieved a standard pass in both English and Maths</w:t>
            </w:r>
          </w:p>
          <w:p w:rsidR="00980D6D" w:rsidRPr="00074745" w:rsidRDefault="00980D6D" w:rsidP="00E97E8C">
            <w:pPr>
              <w:pStyle w:val="Default"/>
              <w:numPr>
                <w:ilvl w:val="0"/>
                <w:numId w:val="3"/>
              </w:numPr>
              <w:ind w:left="322" w:hanging="284"/>
            </w:pPr>
            <w:r w:rsidRPr="00074745">
              <w:t xml:space="preserve">22% of DS students achieved 5+ strong passes at 5 or above including English and Maths </w:t>
            </w:r>
          </w:p>
          <w:p w:rsidR="00E97E8C" w:rsidRPr="00074745" w:rsidRDefault="00E97E8C" w:rsidP="00E97E8C">
            <w:pPr>
              <w:pStyle w:val="Default"/>
              <w:numPr>
                <w:ilvl w:val="0"/>
                <w:numId w:val="3"/>
              </w:numPr>
              <w:ind w:left="322" w:hanging="284"/>
            </w:pPr>
            <w:r w:rsidRPr="00074745">
              <w:t xml:space="preserve">100% of DS students that attended Maths Easter revision school achieved a strong pass </w:t>
            </w:r>
          </w:p>
          <w:p w:rsidR="003C66EC" w:rsidRPr="00074745" w:rsidRDefault="003C66EC" w:rsidP="00E97E8C">
            <w:pPr>
              <w:pStyle w:val="Default"/>
              <w:numPr>
                <w:ilvl w:val="0"/>
                <w:numId w:val="3"/>
              </w:numPr>
              <w:ind w:left="322" w:hanging="284"/>
            </w:pPr>
            <w:r w:rsidRPr="00074745">
              <w:t>63% of DS students achieved a 4+ in Maths with 31% of students achieving a strong pass at 5+</w:t>
            </w:r>
          </w:p>
          <w:p w:rsidR="00980D6D" w:rsidRPr="00980D6D" w:rsidRDefault="00980D6D">
            <w:pPr>
              <w:pStyle w:val="Default"/>
            </w:pPr>
            <w:bookmarkStart w:id="0" w:name="_GoBack"/>
            <w:bookmarkEnd w:id="0"/>
          </w:p>
          <w:p w:rsidR="00843216" w:rsidRDefault="00843216" w:rsidP="00E97E8C">
            <w:pPr>
              <w:pStyle w:val="Default"/>
              <w:ind w:left="38"/>
              <w:rPr>
                <w:sz w:val="22"/>
                <w:szCs w:val="22"/>
              </w:rPr>
            </w:pPr>
          </w:p>
          <w:p w:rsidR="00843216" w:rsidRPr="00512720" w:rsidRDefault="00843216">
            <w:pPr>
              <w:pStyle w:val="Default"/>
              <w:rPr>
                <w:b/>
                <w:sz w:val="28"/>
                <w:szCs w:val="28"/>
              </w:rPr>
            </w:pPr>
            <w:r w:rsidRPr="00512720">
              <w:rPr>
                <w:b/>
                <w:sz w:val="28"/>
                <w:szCs w:val="28"/>
              </w:rPr>
              <w:t>Year 10</w:t>
            </w:r>
          </w:p>
          <w:p w:rsidR="00980D6D" w:rsidRPr="00B958B0" w:rsidRDefault="00843216" w:rsidP="00980D6D">
            <w:pPr>
              <w:pStyle w:val="Default"/>
              <w:numPr>
                <w:ilvl w:val="0"/>
                <w:numId w:val="1"/>
              </w:numPr>
              <w:ind w:left="426"/>
            </w:pPr>
            <w:r w:rsidRPr="00B958B0">
              <w:t xml:space="preserve">More of a positive picture when comparing to year 11 </w:t>
            </w:r>
            <w:r w:rsidR="008A696A">
              <w:t xml:space="preserve">2018 </w:t>
            </w:r>
            <w:r w:rsidRPr="00B958B0">
              <w:t>GCSE outcomes – Year 10 summer AP data: Average progress DS -0.41 non DS -0.06 gap -0.35</w:t>
            </w:r>
            <w:r w:rsidR="008A696A">
              <w:t>.   Departmental action plans explicitly show how HOD will close gaps in their subject area.</w:t>
            </w:r>
          </w:p>
          <w:p w:rsidR="00980D6D" w:rsidRPr="00B958B0" w:rsidRDefault="00980D6D" w:rsidP="00980D6D">
            <w:pPr>
              <w:pStyle w:val="Default"/>
              <w:numPr>
                <w:ilvl w:val="0"/>
                <w:numId w:val="1"/>
              </w:numPr>
              <w:ind w:left="426"/>
            </w:pPr>
            <w:r w:rsidRPr="00B958B0">
              <w:t>Above LA for Average A8 projected (PP 3.86 LA: 3.42)</w:t>
            </w:r>
          </w:p>
          <w:p w:rsidR="00843216" w:rsidRPr="00B958B0" w:rsidRDefault="00843216" w:rsidP="00843216">
            <w:pPr>
              <w:pStyle w:val="Default"/>
              <w:numPr>
                <w:ilvl w:val="0"/>
                <w:numId w:val="1"/>
              </w:numPr>
              <w:ind w:left="426"/>
            </w:pPr>
            <w:r w:rsidRPr="00B958B0">
              <w:t xml:space="preserve">FSM students in year 10 are above National and LA for average A8 projected (FSM: 4.08, National 3.90 and LA: 3.14) </w:t>
            </w:r>
            <w:r w:rsidR="008A696A">
              <w:t xml:space="preserve">  All FSM students are targeted for additional support beyond the school day.</w:t>
            </w:r>
          </w:p>
          <w:p w:rsidR="00553494" w:rsidRPr="00B958B0" w:rsidRDefault="00553494" w:rsidP="00843216">
            <w:pPr>
              <w:pStyle w:val="Default"/>
              <w:numPr>
                <w:ilvl w:val="0"/>
                <w:numId w:val="1"/>
              </w:numPr>
              <w:ind w:left="426"/>
            </w:pPr>
            <w:r w:rsidRPr="00B958B0">
              <w:t>Year 10 DS students are performing better</w:t>
            </w:r>
            <w:r w:rsidR="00685FC1" w:rsidRPr="00B958B0">
              <w:t xml:space="preserve"> when compared to non-DS students in physics, computing and French</w:t>
            </w:r>
          </w:p>
          <w:p w:rsidR="00E97E8C" w:rsidRPr="00B958B0" w:rsidRDefault="008A696A" w:rsidP="00843216">
            <w:pPr>
              <w:pStyle w:val="Default"/>
              <w:numPr>
                <w:ilvl w:val="0"/>
                <w:numId w:val="1"/>
              </w:numPr>
              <w:ind w:left="426"/>
            </w:pPr>
            <w:r>
              <w:t>As a result of strong links between the Pupil Premium achievement mentor and the more able coordinator 80% of our high attaining</w:t>
            </w:r>
            <w:r w:rsidR="00B958B0" w:rsidRPr="00B958B0">
              <w:t xml:space="preserve"> students are working at or above expected progress</w:t>
            </w:r>
            <w:r>
              <w:t xml:space="preserve">.  </w:t>
            </w:r>
          </w:p>
          <w:p w:rsidR="00843216" w:rsidRDefault="00843216">
            <w:pPr>
              <w:pStyle w:val="Default"/>
              <w:rPr>
                <w:sz w:val="22"/>
                <w:szCs w:val="22"/>
              </w:rPr>
            </w:pPr>
          </w:p>
          <w:p w:rsidR="00843216" w:rsidRDefault="00843216">
            <w:pPr>
              <w:pStyle w:val="Default"/>
              <w:rPr>
                <w:sz w:val="22"/>
                <w:szCs w:val="22"/>
              </w:rPr>
            </w:pPr>
          </w:p>
          <w:p w:rsidR="00A52998" w:rsidRPr="00553494" w:rsidRDefault="00A52998">
            <w:pPr>
              <w:pStyle w:val="Default"/>
              <w:rPr>
                <w:sz w:val="28"/>
                <w:szCs w:val="28"/>
              </w:rPr>
            </w:pPr>
            <w:r w:rsidRPr="00553494">
              <w:rPr>
                <w:b/>
                <w:bCs/>
                <w:sz w:val="28"/>
                <w:szCs w:val="28"/>
              </w:rPr>
              <w:t xml:space="preserve">Additional context </w:t>
            </w:r>
          </w:p>
          <w:p w:rsidR="00B958B0" w:rsidRPr="00B958B0" w:rsidRDefault="00A52998" w:rsidP="00B958B0">
            <w:pPr>
              <w:pStyle w:val="Default"/>
              <w:ind w:left="502" w:hanging="426"/>
            </w:pPr>
            <w:r>
              <w:rPr>
                <w:sz w:val="22"/>
                <w:szCs w:val="22"/>
              </w:rPr>
              <w:t>●</w:t>
            </w:r>
            <w:r w:rsidR="00843216">
              <w:rPr>
                <w:sz w:val="22"/>
                <w:szCs w:val="22"/>
              </w:rPr>
              <w:t xml:space="preserve"> </w:t>
            </w:r>
            <w:r w:rsidR="00512720">
              <w:rPr>
                <w:sz w:val="22"/>
                <w:szCs w:val="22"/>
              </w:rPr>
              <w:t xml:space="preserve">    </w:t>
            </w:r>
            <w:r w:rsidR="00843216" w:rsidRPr="00B958B0">
              <w:t xml:space="preserve">The performance of the </w:t>
            </w:r>
            <w:r w:rsidR="008A696A">
              <w:t xml:space="preserve">year 11 </w:t>
            </w:r>
            <w:r w:rsidRPr="00B958B0">
              <w:t>DS cohort h</w:t>
            </w:r>
            <w:r w:rsidR="00843216" w:rsidRPr="00B958B0">
              <w:t>as been negatively affected by seven</w:t>
            </w:r>
            <w:r w:rsidRPr="00B958B0">
              <w:t xml:space="preserve"> stud</w:t>
            </w:r>
            <w:r w:rsidR="00843216" w:rsidRPr="00B958B0">
              <w:t>ents. All seven had an attendance below 85</w:t>
            </w:r>
            <w:r w:rsidRPr="00B958B0">
              <w:t xml:space="preserve">%, </w:t>
            </w:r>
            <w:r w:rsidR="00B958B0" w:rsidRPr="00B958B0">
              <w:t xml:space="preserve">with three students having an attendance of 50% or below.  </w:t>
            </w:r>
          </w:p>
          <w:p w:rsidR="00A52998" w:rsidRPr="00B958B0" w:rsidRDefault="00B958B0" w:rsidP="00B958B0">
            <w:pPr>
              <w:pStyle w:val="Default"/>
              <w:numPr>
                <w:ilvl w:val="0"/>
                <w:numId w:val="4"/>
              </w:numPr>
              <w:ind w:left="502"/>
            </w:pPr>
            <w:r w:rsidRPr="00B958B0">
              <w:t>O</w:t>
            </w:r>
            <w:r w:rsidR="00843216" w:rsidRPr="00B958B0">
              <w:t>ne was educated full time off site and another was educated at</w:t>
            </w:r>
            <w:r w:rsidRPr="00B958B0">
              <w:t xml:space="preserve"> a</w:t>
            </w:r>
            <w:r w:rsidR="00843216" w:rsidRPr="00B958B0">
              <w:t xml:space="preserve"> hospital school. All students apart from th</w:t>
            </w:r>
            <w:r w:rsidRPr="00B958B0">
              <w:t>e students educated off site sat</w:t>
            </w:r>
            <w:r w:rsidR="00843216" w:rsidRPr="00B958B0">
              <w:t xml:space="preserve"> their GCSE examinations.  </w:t>
            </w:r>
          </w:p>
          <w:p w:rsidR="00553494" w:rsidRPr="00B958B0" w:rsidRDefault="00553494" w:rsidP="00B958B0">
            <w:pPr>
              <w:pStyle w:val="Default"/>
              <w:numPr>
                <w:ilvl w:val="0"/>
                <w:numId w:val="1"/>
              </w:numPr>
              <w:ind w:left="502"/>
            </w:pPr>
            <w:r w:rsidRPr="00B958B0">
              <w:t>Complex external barriers for a significant number of year 11 students</w:t>
            </w:r>
          </w:p>
          <w:p w:rsidR="00A52998" w:rsidRDefault="00553494" w:rsidP="003C66EC">
            <w:pPr>
              <w:pStyle w:val="Default"/>
              <w:numPr>
                <w:ilvl w:val="0"/>
                <w:numId w:val="3"/>
              </w:numPr>
              <w:ind w:left="502"/>
            </w:pPr>
            <w:r w:rsidRPr="00B958B0">
              <w:t xml:space="preserve">Five students received targeted intervention to support emotional wellbeing. 100% of these students successfully sat their </w:t>
            </w:r>
            <w:r w:rsidR="003C66EC">
              <w:t xml:space="preserve">GCSE examinations </w:t>
            </w:r>
          </w:p>
          <w:p w:rsidR="00090F6E" w:rsidRDefault="00090F6E" w:rsidP="003C66EC">
            <w:pPr>
              <w:pStyle w:val="Default"/>
              <w:numPr>
                <w:ilvl w:val="0"/>
                <w:numId w:val="3"/>
              </w:numPr>
              <w:ind w:left="502"/>
            </w:pPr>
            <w:r>
              <w:t>Year 10 – KS4 females five of the students have a % attendance of below 85%.  Action plans are in place to improve this situation and we are working with external agencies to address the issue.</w:t>
            </w:r>
          </w:p>
          <w:p w:rsidR="003C66EC" w:rsidRDefault="003C66EC" w:rsidP="003C66EC">
            <w:pPr>
              <w:pStyle w:val="Default"/>
            </w:pPr>
          </w:p>
          <w:p w:rsidR="003C66EC" w:rsidRPr="00553494" w:rsidRDefault="003C66EC" w:rsidP="003C66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Pr="00553494">
              <w:rPr>
                <w:b/>
                <w:bCs/>
                <w:sz w:val="28"/>
                <w:szCs w:val="28"/>
              </w:rPr>
              <w:t xml:space="preserve">indings from self-evaluation / Quality Assurance: KS4 </w:t>
            </w:r>
          </w:p>
          <w:p w:rsidR="003C66EC" w:rsidRDefault="003C66EC" w:rsidP="003C66EC">
            <w:pPr>
              <w:pStyle w:val="Default"/>
            </w:pPr>
          </w:p>
          <w:p w:rsidR="003C66EC" w:rsidRDefault="008A696A" w:rsidP="003C66EC">
            <w:pPr>
              <w:pStyle w:val="Default"/>
              <w:numPr>
                <w:ilvl w:val="0"/>
                <w:numId w:val="3"/>
              </w:numPr>
            </w:pPr>
            <w:r>
              <w:t>100% of s</w:t>
            </w:r>
            <w:r w:rsidR="003C66EC">
              <w:t xml:space="preserve">tudents who received in class support from Maths learning support achieved a standard pass in Maths </w:t>
            </w:r>
          </w:p>
          <w:p w:rsidR="008A696A" w:rsidRDefault="008A696A" w:rsidP="003C66EC">
            <w:pPr>
              <w:pStyle w:val="Default"/>
              <w:numPr>
                <w:ilvl w:val="0"/>
                <w:numId w:val="3"/>
              </w:numPr>
            </w:pPr>
            <w:r>
              <w:t>Deployment of Pupil Premium achievement mentor to ensure students achieved a standard pass in English and Maths. 100% of students targeted achieved at least a standard pass in both.</w:t>
            </w:r>
          </w:p>
          <w:p w:rsidR="003C66EC" w:rsidRDefault="003C66EC" w:rsidP="003C66EC">
            <w:pPr>
              <w:pStyle w:val="Default"/>
              <w:numPr>
                <w:ilvl w:val="0"/>
                <w:numId w:val="3"/>
              </w:numPr>
            </w:pPr>
            <w:r>
              <w:t xml:space="preserve">Tutor time interventions had a positive impact on the outcomes for Maths </w:t>
            </w:r>
          </w:p>
          <w:p w:rsidR="003C66EC" w:rsidRDefault="003C66EC" w:rsidP="003C66EC">
            <w:pPr>
              <w:pStyle w:val="Default"/>
              <w:numPr>
                <w:ilvl w:val="0"/>
                <w:numId w:val="3"/>
              </w:numPr>
            </w:pPr>
            <w:r>
              <w:t>100% of students who attended Easter revision school or Saturday walk and talk exam achieved at least a grade 4 in Maths</w:t>
            </w:r>
          </w:p>
          <w:p w:rsidR="00512720" w:rsidRDefault="00512720" w:rsidP="003C66EC">
            <w:pPr>
              <w:pStyle w:val="Default"/>
              <w:numPr>
                <w:ilvl w:val="0"/>
                <w:numId w:val="3"/>
              </w:numPr>
            </w:pPr>
            <w:r>
              <w:t>Interventions for mental health intensified during the year to support year 11 students with anxiety issues.  As a result of these interventions all students successfully completed all their examinations</w:t>
            </w:r>
          </w:p>
          <w:p w:rsidR="00512720" w:rsidRDefault="00512720" w:rsidP="003C66EC">
            <w:pPr>
              <w:pStyle w:val="Default"/>
              <w:numPr>
                <w:ilvl w:val="0"/>
                <w:numId w:val="3"/>
              </w:numPr>
            </w:pPr>
            <w:r>
              <w:t>Pupil Premium Achievement mentor worked hard to engage our ‘hard to reach’ families.  As a results attendance to year 11 parents evening increased to 82% compared to 50% the previous year.</w:t>
            </w:r>
            <w:r w:rsidR="008A696A">
              <w:t xml:space="preserve"> </w:t>
            </w:r>
          </w:p>
          <w:p w:rsidR="008A696A" w:rsidRDefault="008A696A" w:rsidP="003C66EC">
            <w:pPr>
              <w:pStyle w:val="Default"/>
              <w:numPr>
                <w:ilvl w:val="0"/>
                <w:numId w:val="3"/>
              </w:numPr>
            </w:pPr>
            <w:r>
              <w:t>100% of year 11 DS students had the opportunity to attend a raising aspirations event.</w:t>
            </w:r>
          </w:p>
          <w:p w:rsidR="00512720" w:rsidRDefault="00512720" w:rsidP="00512720">
            <w:pPr>
              <w:pStyle w:val="Default"/>
            </w:pPr>
          </w:p>
          <w:p w:rsidR="00512720" w:rsidRPr="00512720" w:rsidRDefault="00512720" w:rsidP="00512720">
            <w:pPr>
              <w:pStyle w:val="Default"/>
              <w:rPr>
                <w:b/>
                <w:sz w:val="28"/>
                <w:szCs w:val="28"/>
              </w:rPr>
            </w:pPr>
            <w:r w:rsidRPr="00512720">
              <w:rPr>
                <w:b/>
                <w:sz w:val="28"/>
                <w:szCs w:val="28"/>
              </w:rPr>
              <w:t>Key Stage 3</w:t>
            </w:r>
          </w:p>
        </w:tc>
      </w:tr>
    </w:tbl>
    <w:p w:rsidR="00931B13" w:rsidRDefault="00931B13"/>
    <w:p w:rsidR="00931B13" w:rsidRPr="00931B13" w:rsidRDefault="00931B13" w:rsidP="00931B13">
      <w:pPr>
        <w:rPr>
          <w:b/>
        </w:rPr>
      </w:pPr>
      <w:r w:rsidRPr="00931B13">
        <w:rPr>
          <w:b/>
        </w:rPr>
        <w:t>Year 9</w:t>
      </w:r>
      <w:r w:rsidR="002C7F14">
        <w:rPr>
          <w:b/>
        </w:rPr>
        <w:t xml:space="preserve"> (31)</w:t>
      </w:r>
    </w:p>
    <w:p w:rsidR="00FF0D7A" w:rsidRPr="002C7F14" w:rsidRDefault="00512720" w:rsidP="002C7F14">
      <w:r>
        <w:rPr>
          <w:sz w:val="23"/>
          <w:szCs w:val="23"/>
        </w:rPr>
        <w:t xml:space="preserve">Y9 Prior Attainment Data: the current DS cohort left primary school with an attainment of 4.49, whereas the </w:t>
      </w:r>
      <w:r w:rsidR="00FF0D7A">
        <w:rPr>
          <w:sz w:val="23"/>
          <w:szCs w:val="23"/>
        </w:rPr>
        <w:t>non-DS</w:t>
      </w:r>
      <w:r>
        <w:rPr>
          <w:sz w:val="23"/>
          <w:szCs w:val="23"/>
        </w:rPr>
        <w:t xml:space="preserve"> achieved 4.78. </w:t>
      </w:r>
      <w:r w:rsidR="00FF0D7A">
        <w:rPr>
          <w:sz w:val="23"/>
          <w:szCs w:val="23"/>
        </w:rPr>
        <w:t xml:space="preserve">There is a slight in school progress gap of -0.07, however this gap is still below National and LA gaps </w:t>
      </w:r>
    </w:p>
    <w:p w:rsidR="002C7F14" w:rsidRDefault="002C7F14" w:rsidP="005127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FSM (6) students are making more progress when compared to their non-DS peers</w:t>
      </w:r>
    </w:p>
    <w:p w:rsidR="00FF0D7A" w:rsidRDefault="002C7F14" w:rsidP="005127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Subjects:</w:t>
      </w:r>
    </w:p>
    <w:p w:rsidR="002C7F14" w:rsidRDefault="002C7F14" w:rsidP="00512720">
      <w:pPr>
        <w:pStyle w:val="Default"/>
        <w:rPr>
          <w:sz w:val="23"/>
          <w:szCs w:val="23"/>
        </w:rPr>
      </w:pPr>
    </w:p>
    <w:p w:rsidR="00FF0D7A" w:rsidRPr="00931B13" w:rsidRDefault="00FF0D7A" w:rsidP="00512720">
      <w:pPr>
        <w:pStyle w:val="Default"/>
        <w:rPr>
          <w:b/>
          <w:sz w:val="23"/>
          <w:szCs w:val="23"/>
        </w:rPr>
      </w:pPr>
      <w:r w:rsidRPr="00931B13">
        <w:rPr>
          <w:b/>
          <w:sz w:val="23"/>
          <w:szCs w:val="23"/>
        </w:rPr>
        <w:t>Year 8</w:t>
      </w:r>
      <w:r w:rsidR="002C7F14">
        <w:rPr>
          <w:b/>
          <w:sz w:val="23"/>
          <w:szCs w:val="23"/>
        </w:rPr>
        <w:t xml:space="preserve"> (26)</w:t>
      </w:r>
    </w:p>
    <w:p w:rsidR="00FF0D7A" w:rsidRDefault="00FF0D7A" w:rsidP="005127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Y8 Prior Attainment Data: the current DS cohort left primary school with an attainment of 4.42, whereas the non-DS achieved 4.74</w:t>
      </w:r>
    </w:p>
    <w:p w:rsidR="00FF0D7A" w:rsidRDefault="00FF0D7A" w:rsidP="005127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DS students are performing better in all areas when compared to non-DS students</w:t>
      </w:r>
    </w:p>
    <w:p w:rsidR="00FF0D7A" w:rsidRDefault="00FF0D7A" w:rsidP="005127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Average progress DS 0.30 compared to 0.19 non-DS</w:t>
      </w:r>
    </w:p>
    <w:p w:rsidR="00FF0D7A" w:rsidRDefault="00FF0D7A" w:rsidP="005127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FSM</w:t>
      </w:r>
      <w:r w:rsidR="002C7F14">
        <w:rPr>
          <w:sz w:val="23"/>
          <w:szCs w:val="23"/>
        </w:rPr>
        <w:t xml:space="preserve"> (8)</w:t>
      </w:r>
      <w:r>
        <w:rPr>
          <w:sz w:val="23"/>
          <w:szCs w:val="23"/>
        </w:rPr>
        <w:t xml:space="preserve"> also performing better in all </w:t>
      </w:r>
      <w:r w:rsidR="00931B13">
        <w:rPr>
          <w:sz w:val="23"/>
          <w:szCs w:val="23"/>
        </w:rPr>
        <w:t>subjects</w:t>
      </w:r>
      <w:r>
        <w:rPr>
          <w:sz w:val="23"/>
          <w:szCs w:val="23"/>
        </w:rPr>
        <w:t xml:space="preserve"> </w:t>
      </w:r>
      <w:r w:rsidR="00931B13">
        <w:rPr>
          <w:sz w:val="23"/>
          <w:szCs w:val="23"/>
        </w:rPr>
        <w:t>compared</w:t>
      </w:r>
      <w:r>
        <w:rPr>
          <w:sz w:val="23"/>
          <w:szCs w:val="23"/>
        </w:rPr>
        <w:t xml:space="preserve"> to non FSM students.</w:t>
      </w:r>
    </w:p>
    <w:p w:rsidR="00931B13" w:rsidRDefault="00931B13" w:rsidP="00512720">
      <w:pPr>
        <w:pStyle w:val="Default"/>
        <w:rPr>
          <w:sz w:val="23"/>
          <w:szCs w:val="23"/>
        </w:rPr>
      </w:pPr>
    </w:p>
    <w:p w:rsidR="00931B13" w:rsidRPr="002C7F14" w:rsidRDefault="002C7F14" w:rsidP="00512720">
      <w:pPr>
        <w:pStyle w:val="Default"/>
        <w:rPr>
          <w:b/>
          <w:sz w:val="23"/>
          <w:szCs w:val="23"/>
        </w:rPr>
      </w:pPr>
      <w:r w:rsidRPr="002C7F14">
        <w:rPr>
          <w:b/>
          <w:sz w:val="23"/>
          <w:szCs w:val="23"/>
        </w:rPr>
        <w:t>Year 7 (25</w:t>
      </w:r>
      <w:r w:rsidR="00931B13" w:rsidRPr="002C7F14">
        <w:rPr>
          <w:b/>
          <w:sz w:val="23"/>
          <w:szCs w:val="23"/>
        </w:rPr>
        <w:t>)</w:t>
      </w:r>
    </w:p>
    <w:p w:rsidR="00931B13" w:rsidRDefault="00931B13" w:rsidP="005127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Year 7 studen</w:t>
      </w:r>
      <w:r w:rsidR="002C7F14">
        <w:rPr>
          <w:sz w:val="23"/>
          <w:szCs w:val="23"/>
        </w:rPr>
        <w:t>ts are making more progress compared to</w:t>
      </w:r>
      <w:r>
        <w:rPr>
          <w:sz w:val="23"/>
          <w:szCs w:val="23"/>
        </w:rPr>
        <w:t xml:space="preserve"> their non-D</w:t>
      </w:r>
      <w:r w:rsidR="002C7F14">
        <w:rPr>
          <w:sz w:val="23"/>
          <w:szCs w:val="23"/>
        </w:rPr>
        <w:t>S peers (DS: 0.12 non DS: 0.04) however there is an in school attainment gap of -0.53</w:t>
      </w:r>
    </w:p>
    <w:p w:rsidR="00FF0D7A" w:rsidRDefault="002C7F14" w:rsidP="005127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Subject:</w:t>
      </w:r>
    </w:p>
    <w:p w:rsidR="00FF0D7A" w:rsidRDefault="00FF0D7A" w:rsidP="00512720">
      <w:pPr>
        <w:pStyle w:val="Default"/>
        <w:rPr>
          <w:sz w:val="23"/>
          <w:szCs w:val="23"/>
        </w:rPr>
      </w:pPr>
    </w:p>
    <w:p w:rsidR="002C7F14" w:rsidRPr="002C7F14" w:rsidRDefault="002C7F14" w:rsidP="00512720">
      <w:pPr>
        <w:pStyle w:val="Default"/>
        <w:rPr>
          <w:b/>
          <w:i/>
        </w:rPr>
      </w:pPr>
      <w:r w:rsidRPr="002C7F14">
        <w:rPr>
          <w:b/>
          <w:i/>
        </w:rPr>
        <w:t>KS3 LAC</w:t>
      </w:r>
    </w:p>
    <w:p w:rsidR="002C7F14" w:rsidRDefault="002C7F14" w:rsidP="005127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There are two LAC students in year 9 and one in year 7.  Both students in year 9 are exceeding targets in all areas of the curriculum.  Year 7 students is achieving their minimum expected targets in all areas.</w:t>
      </w:r>
    </w:p>
    <w:p w:rsidR="00FF0D7A" w:rsidRDefault="00FF0D7A" w:rsidP="00512720">
      <w:pPr>
        <w:pStyle w:val="Default"/>
        <w:rPr>
          <w:sz w:val="23"/>
          <w:szCs w:val="23"/>
        </w:rPr>
      </w:pPr>
    </w:p>
    <w:p w:rsidR="002C7F14" w:rsidRPr="007A6D72" w:rsidRDefault="002C7F14" w:rsidP="002C7F14">
      <w:pPr>
        <w:pStyle w:val="Default"/>
      </w:pPr>
      <w:r w:rsidRPr="007A6D72">
        <w:rPr>
          <w:b/>
          <w:bCs/>
          <w:sz w:val="28"/>
          <w:szCs w:val="28"/>
        </w:rPr>
        <w:t>Impact of</w:t>
      </w:r>
      <w:r w:rsidR="007A6D72" w:rsidRPr="007A6D72">
        <w:rPr>
          <w:b/>
          <w:bCs/>
          <w:sz w:val="28"/>
          <w:szCs w:val="28"/>
        </w:rPr>
        <w:t xml:space="preserve"> leadership to address issues </w:t>
      </w:r>
    </w:p>
    <w:p w:rsidR="002C7F14" w:rsidRDefault="002C7F14" w:rsidP="005A5BD6">
      <w:pPr>
        <w:pStyle w:val="Default"/>
      </w:pPr>
      <w:r w:rsidRPr="002C7F14">
        <w:rPr>
          <w:rFonts w:ascii="Times New Roman" w:hAnsi="Times New Roman" w:cs="Times New Roman"/>
          <w:b/>
          <w:sz w:val="23"/>
          <w:szCs w:val="23"/>
        </w:rPr>
        <w:t xml:space="preserve">● </w:t>
      </w:r>
      <w:r w:rsidR="005A5BD6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7A6D72">
        <w:t xml:space="preserve">Analysis of the data has been used to drive key interventions, especially in Maths, and mental </w:t>
      </w:r>
      <w:r w:rsidR="005A5BD6">
        <w:t xml:space="preserve">      </w:t>
      </w:r>
      <w:r w:rsidRPr="007A6D72">
        <w:t xml:space="preserve">health support. </w:t>
      </w:r>
    </w:p>
    <w:p w:rsidR="007A6D72" w:rsidRPr="007A6D72" w:rsidRDefault="005A5BD6" w:rsidP="005A5BD6">
      <w:pPr>
        <w:pStyle w:val="Default"/>
        <w:numPr>
          <w:ilvl w:val="0"/>
          <w:numId w:val="7"/>
        </w:numPr>
        <w:tabs>
          <w:tab w:val="left" w:pos="142"/>
          <w:tab w:val="left" w:pos="709"/>
        </w:tabs>
        <w:ind w:left="0" w:firstLine="0"/>
      </w:pPr>
      <w:r>
        <w:t xml:space="preserve">    </w:t>
      </w:r>
      <w:r w:rsidR="007A6D72">
        <w:t>Pupil Premium team (Vice Principal – Removing Barriers, Pupil Premium Achievement Mentor and Pastoral/Mental Health school lead) have met weekly to discuss strategies and discuss students on an individual need</w:t>
      </w:r>
    </w:p>
    <w:p w:rsidR="007A6D72" w:rsidRPr="007A6D72" w:rsidRDefault="002C7F14" w:rsidP="008A696A">
      <w:pPr>
        <w:pStyle w:val="Default"/>
        <w:tabs>
          <w:tab w:val="left" w:pos="284"/>
        </w:tabs>
      </w:pPr>
      <w:r w:rsidRPr="007A6D72">
        <w:rPr>
          <w:rFonts w:ascii="Times New Roman" w:hAnsi="Times New Roman" w:cs="Times New Roman"/>
        </w:rPr>
        <w:t xml:space="preserve">● </w:t>
      </w:r>
      <w:r w:rsidR="005A5BD6">
        <w:rPr>
          <w:rFonts w:ascii="Times New Roman" w:hAnsi="Times New Roman" w:cs="Times New Roman"/>
        </w:rPr>
        <w:t xml:space="preserve">    </w:t>
      </w:r>
      <w:r w:rsidR="007A6D72">
        <w:t xml:space="preserve">PP achievement mentor has been highly successful in ensuring attendance to T7 sessions </w:t>
      </w:r>
      <w:r w:rsidR="005A5BD6">
        <w:t xml:space="preserve">       </w:t>
      </w:r>
      <w:r w:rsidR="007A6D72">
        <w:t>beyond the school day</w:t>
      </w:r>
    </w:p>
    <w:p w:rsidR="002C7F14" w:rsidRPr="007A6D72" w:rsidRDefault="002C7F14" w:rsidP="002C7F14">
      <w:pPr>
        <w:pStyle w:val="Default"/>
      </w:pPr>
      <w:r w:rsidRPr="007A6D72">
        <w:rPr>
          <w:rFonts w:ascii="Times New Roman" w:hAnsi="Times New Roman" w:cs="Times New Roman"/>
        </w:rPr>
        <w:t xml:space="preserve">● </w:t>
      </w:r>
      <w:r w:rsidR="007A6D72">
        <w:t xml:space="preserve">Sharing of best practice at the DS network meetings hosted by TELA has been very useful </w:t>
      </w:r>
    </w:p>
    <w:p w:rsidR="002C7F14" w:rsidRPr="002C7F14" w:rsidRDefault="002C7F14" w:rsidP="002C7F14">
      <w:pPr>
        <w:pStyle w:val="Default"/>
      </w:pPr>
      <w:r w:rsidRPr="007A6D72">
        <w:rPr>
          <w:rFonts w:ascii="Times New Roman" w:hAnsi="Times New Roman" w:cs="Times New Roman"/>
        </w:rPr>
        <w:t xml:space="preserve">● </w:t>
      </w:r>
      <w:r w:rsidRPr="007A6D72">
        <w:t>Targeted provision of additional</w:t>
      </w:r>
      <w:r w:rsidRPr="002C7F14">
        <w:t xml:space="preserve"> revision materials and extra-curricular events to encourage an engagement with learning and foster ambitions has given students all the equipment and advice they need for effective revision </w:t>
      </w:r>
    </w:p>
    <w:p w:rsidR="002C7F14" w:rsidRDefault="002C7F14" w:rsidP="002C7F14">
      <w:pPr>
        <w:pStyle w:val="Default"/>
      </w:pPr>
      <w:r w:rsidRPr="002C7F14">
        <w:rPr>
          <w:rFonts w:ascii="Times New Roman" w:hAnsi="Times New Roman" w:cs="Times New Roman"/>
        </w:rPr>
        <w:t xml:space="preserve">● </w:t>
      </w:r>
      <w:r w:rsidR="007A6D72">
        <w:t>Departmental</w:t>
      </w:r>
      <w:r w:rsidRPr="002C7F14">
        <w:t xml:space="preserve"> Improvement Plans have been explicit about ways in</w:t>
      </w:r>
      <w:r w:rsidR="007A6D72">
        <w:t xml:space="preserve"> which the needs of DS</w:t>
      </w:r>
      <w:r w:rsidRPr="002C7F14">
        <w:t xml:space="preserve"> students will be catered for this year. </w:t>
      </w:r>
    </w:p>
    <w:p w:rsidR="007A6D72" w:rsidRDefault="007A6D72" w:rsidP="007A6D72">
      <w:pPr>
        <w:pStyle w:val="Default"/>
        <w:numPr>
          <w:ilvl w:val="0"/>
          <w:numId w:val="6"/>
        </w:numPr>
        <w:ind w:left="142" w:hanging="142"/>
      </w:pPr>
      <w:r>
        <w:t xml:space="preserve">Heads of department have been held to account to ensure interventions are rigorous and purposeful to drive standards of all DS students </w:t>
      </w:r>
    </w:p>
    <w:p w:rsidR="007A6D72" w:rsidRDefault="007A6D72" w:rsidP="007A6D72">
      <w:pPr>
        <w:pStyle w:val="Default"/>
        <w:numPr>
          <w:ilvl w:val="0"/>
          <w:numId w:val="6"/>
        </w:numPr>
        <w:ind w:left="142" w:hanging="142"/>
      </w:pPr>
      <w:r>
        <w:t>All year 11 DS students have secured a Post 16 provision or apprenticeship.  The careers and guidance team have ensured no student has been left behind in ensuring a pathway beyond GCSE</w:t>
      </w:r>
    </w:p>
    <w:p w:rsidR="007A6D72" w:rsidRDefault="007A6D72" w:rsidP="007A6D72">
      <w:pPr>
        <w:pStyle w:val="Default"/>
        <w:ind w:left="142"/>
      </w:pPr>
    </w:p>
    <w:p w:rsidR="007A6D72" w:rsidRDefault="007A6D72" w:rsidP="002C7F14">
      <w:pPr>
        <w:pStyle w:val="Default"/>
      </w:pPr>
    </w:p>
    <w:p w:rsidR="007A6D72" w:rsidRDefault="007A6D72" w:rsidP="007A6D72">
      <w:pPr>
        <w:pStyle w:val="Default"/>
        <w:rPr>
          <w:b/>
          <w:bCs/>
          <w:i/>
        </w:rPr>
      </w:pPr>
      <w:r w:rsidRPr="005A5BD6">
        <w:rPr>
          <w:b/>
          <w:bCs/>
          <w:i/>
          <w:sz w:val="28"/>
          <w:szCs w:val="28"/>
        </w:rPr>
        <w:t xml:space="preserve">Next steps for further improvement – </w:t>
      </w:r>
      <w:r w:rsidR="005A5BD6" w:rsidRPr="005A5BD6">
        <w:rPr>
          <w:b/>
          <w:bCs/>
          <w:i/>
          <w:sz w:val="28"/>
          <w:szCs w:val="28"/>
        </w:rPr>
        <w:t>(</w:t>
      </w:r>
      <w:r w:rsidRPr="005A5BD6">
        <w:rPr>
          <w:b/>
          <w:bCs/>
          <w:i/>
        </w:rPr>
        <w:t xml:space="preserve">see </w:t>
      </w:r>
      <w:r w:rsidR="005A5BD6" w:rsidRPr="005A5BD6">
        <w:rPr>
          <w:b/>
          <w:bCs/>
          <w:i/>
        </w:rPr>
        <w:t>Strategy</w:t>
      </w:r>
      <w:r w:rsidRPr="005A5BD6">
        <w:rPr>
          <w:b/>
          <w:bCs/>
          <w:i/>
        </w:rPr>
        <w:t xml:space="preserve"> Statement 18-19 for detailed </w:t>
      </w:r>
      <w:r w:rsidR="005A5BD6" w:rsidRPr="005A5BD6">
        <w:rPr>
          <w:b/>
          <w:bCs/>
          <w:i/>
        </w:rPr>
        <w:t>overview</w:t>
      </w:r>
      <w:r w:rsidR="005A5BD6">
        <w:rPr>
          <w:b/>
          <w:bCs/>
          <w:i/>
        </w:rPr>
        <w:t xml:space="preserve"> on spending</w:t>
      </w:r>
      <w:r w:rsidR="005A5BD6" w:rsidRPr="005A5BD6">
        <w:rPr>
          <w:b/>
          <w:bCs/>
          <w:i/>
        </w:rPr>
        <w:t>)</w:t>
      </w:r>
    </w:p>
    <w:p w:rsidR="005A5BD6" w:rsidRPr="005A5BD6" w:rsidRDefault="005A5BD6" w:rsidP="007A6D72">
      <w:pPr>
        <w:pStyle w:val="Default"/>
        <w:rPr>
          <w:b/>
          <w:bCs/>
          <w:i/>
        </w:rPr>
      </w:pPr>
    </w:p>
    <w:p w:rsidR="007A6D72" w:rsidRDefault="007A6D72" w:rsidP="007A6D72">
      <w:pPr>
        <w:pStyle w:val="Default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sz w:val="23"/>
          <w:szCs w:val="23"/>
        </w:rPr>
        <w:t xml:space="preserve">● </w:t>
      </w:r>
      <w:r w:rsidRPr="005A5BD6">
        <w:rPr>
          <w:rFonts w:asciiTheme="minorHAnsi" w:hAnsiTheme="minorHAnsi" w:cstheme="minorHAnsi"/>
        </w:rPr>
        <w:t xml:space="preserve">To continue our </w:t>
      </w:r>
      <w:r w:rsidR="005A5BD6">
        <w:rPr>
          <w:rFonts w:asciiTheme="minorHAnsi" w:hAnsiTheme="minorHAnsi" w:cstheme="minorHAnsi"/>
        </w:rPr>
        <w:t xml:space="preserve">relentless </w:t>
      </w:r>
      <w:r w:rsidRPr="005A5BD6">
        <w:rPr>
          <w:rFonts w:asciiTheme="minorHAnsi" w:hAnsiTheme="minorHAnsi" w:cstheme="minorHAnsi"/>
        </w:rPr>
        <w:t xml:space="preserve">focus on improving the progress and attainment of the DS students so that the gap narrows </w:t>
      </w:r>
    </w:p>
    <w:p w:rsidR="005A5BD6" w:rsidRPr="005A5BD6" w:rsidRDefault="005A5BD6" w:rsidP="005A5BD6">
      <w:pPr>
        <w:pStyle w:val="Default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systematically analyse AP data which then drives the subject interventions</w:t>
      </w:r>
    </w:p>
    <w:p w:rsidR="007A6D72" w:rsidRPr="005A5BD6" w:rsidRDefault="005A5BD6" w:rsidP="007A6D7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 To further develop</w:t>
      </w:r>
      <w:r w:rsidR="007A6D72" w:rsidRPr="005A5BD6">
        <w:rPr>
          <w:rFonts w:asciiTheme="minorHAnsi" w:hAnsiTheme="minorHAnsi" w:cstheme="minorHAnsi"/>
        </w:rPr>
        <w:t xml:space="preserve"> our strategy for engaging our hard to reach parents </w:t>
      </w:r>
    </w:p>
    <w:p w:rsidR="007A6D72" w:rsidRPr="005A5BD6" w:rsidRDefault="007A6D72" w:rsidP="007A6D72">
      <w:pPr>
        <w:pStyle w:val="Default"/>
        <w:rPr>
          <w:rFonts w:asciiTheme="minorHAnsi" w:hAnsiTheme="minorHAnsi" w:cstheme="minorHAnsi"/>
        </w:rPr>
      </w:pPr>
      <w:r w:rsidRPr="005A5BD6">
        <w:rPr>
          <w:rFonts w:asciiTheme="minorHAnsi" w:hAnsiTheme="minorHAnsi" w:cstheme="minorHAnsi"/>
        </w:rPr>
        <w:t>● To accelerat</w:t>
      </w:r>
      <w:r w:rsidR="005A5BD6">
        <w:rPr>
          <w:rFonts w:asciiTheme="minorHAnsi" w:hAnsiTheme="minorHAnsi" w:cstheme="minorHAnsi"/>
        </w:rPr>
        <w:t>e the progress of our high attaining students</w:t>
      </w:r>
    </w:p>
    <w:p w:rsidR="007A6D72" w:rsidRPr="005A5BD6" w:rsidRDefault="007A6D72" w:rsidP="007A6D72">
      <w:pPr>
        <w:pStyle w:val="Default"/>
        <w:rPr>
          <w:rFonts w:asciiTheme="minorHAnsi" w:hAnsiTheme="minorHAnsi" w:cstheme="minorHAnsi"/>
        </w:rPr>
      </w:pPr>
      <w:r w:rsidRPr="005A5BD6">
        <w:rPr>
          <w:rFonts w:asciiTheme="minorHAnsi" w:hAnsiTheme="minorHAnsi" w:cstheme="minorHAnsi"/>
        </w:rPr>
        <w:t xml:space="preserve">● To improve the progress of our male DS so that the gap between their progress and the girls’ progress narrows </w:t>
      </w:r>
    </w:p>
    <w:p w:rsidR="007A6D72" w:rsidRPr="005A5BD6" w:rsidRDefault="007A6D72" w:rsidP="007A6D72">
      <w:pPr>
        <w:pStyle w:val="Default"/>
        <w:rPr>
          <w:rFonts w:asciiTheme="minorHAnsi" w:hAnsiTheme="minorHAnsi" w:cstheme="minorHAnsi"/>
        </w:rPr>
      </w:pPr>
      <w:r w:rsidRPr="005A5BD6">
        <w:rPr>
          <w:rFonts w:asciiTheme="minorHAnsi" w:hAnsiTheme="minorHAnsi" w:cstheme="minorHAnsi"/>
        </w:rPr>
        <w:t>● To improve the attendance of</w:t>
      </w:r>
      <w:r w:rsidR="005A5BD6">
        <w:rPr>
          <w:rFonts w:asciiTheme="minorHAnsi" w:hAnsiTheme="minorHAnsi" w:cstheme="minorHAnsi"/>
        </w:rPr>
        <w:t xml:space="preserve"> some of the most vulnerable DS (KS4)</w:t>
      </w:r>
    </w:p>
    <w:p w:rsidR="007A6D72" w:rsidRPr="005A5BD6" w:rsidRDefault="007A6D72" w:rsidP="007A6D72">
      <w:pPr>
        <w:pStyle w:val="Default"/>
        <w:rPr>
          <w:rFonts w:asciiTheme="minorHAnsi" w:hAnsiTheme="minorHAnsi" w:cstheme="minorHAnsi"/>
        </w:rPr>
      </w:pPr>
      <w:r w:rsidRPr="005A5BD6">
        <w:rPr>
          <w:rFonts w:asciiTheme="minorHAnsi" w:hAnsiTheme="minorHAnsi" w:cstheme="minorHAnsi"/>
        </w:rPr>
        <w:t xml:space="preserve">● To support the mental health and wellbeing of our disadvantaged students </w:t>
      </w:r>
      <w:r w:rsidR="005A5BD6">
        <w:rPr>
          <w:rFonts w:asciiTheme="minorHAnsi" w:hAnsiTheme="minorHAnsi" w:cstheme="minorHAnsi"/>
        </w:rPr>
        <w:t xml:space="preserve">through the use of targeted intervention in the Wellbeing Zone </w:t>
      </w:r>
    </w:p>
    <w:p w:rsidR="007A6D72" w:rsidRPr="005A5BD6" w:rsidRDefault="005A5BD6" w:rsidP="007A6D7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To deploy the Pupil Premium Achievement mentor </w:t>
      </w:r>
      <w:r w:rsidR="007A6D72" w:rsidRPr="005A5BD6">
        <w:rPr>
          <w:rFonts w:asciiTheme="minorHAnsi" w:hAnsiTheme="minorHAnsi" w:cstheme="minorHAnsi"/>
        </w:rPr>
        <w:t xml:space="preserve">effectively </w:t>
      </w:r>
    </w:p>
    <w:p w:rsidR="007A6D72" w:rsidRPr="005A5BD6" w:rsidRDefault="007A6D72" w:rsidP="007A6D72">
      <w:pPr>
        <w:pStyle w:val="Default"/>
        <w:rPr>
          <w:rFonts w:asciiTheme="minorHAnsi" w:hAnsiTheme="minorHAnsi" w:cstheme="minorHAnsi"/>
        </w:rPr>
      </w:pPr>
      <w:r w:rsidRPr="005A5BD6">
        <w:rPr>
          <w:rFonts w:asciiTheme="minorHAnsi" w:hAnsiTheme="minorHAnsi" w:cstheme="minorHAnsi"/>
        </w:rPr>
        <w:t xml:space="preserve">● To focus more explicitly on the Teaching and Learning strategies that best support the progress and attainment of DS </w:t>
      </w:r>
      <w:r w:rsidR="005A5BD6">
        <w:rPr>
          <w:rFonts w:asciiTheme="minorHAnsi" w:hAnsiTheme="minorHAnsi" w:cstheme="minorHAnsi"/>
        </w:rPr>
        <w:t>through the use of the EEF toolkit –focus on Metacognition and Feedback</w:t>
      </w:r>
    </w:p>
    <w:p w:rsidR="00980D6D" w:rsidRDefault="00980D6D">
      <w:pPr>
        <w:rPr>
          <w:sz w:val="24"/>
          <w:szCs w:val="24"/>
        </w:rPr>
      </w:pPr>
    </w:p>
    <w:p w:rsidR="005A5BD6" w:rsidRPr="002C7F14" w:rsidRDefault="005A5BD6">
      <w:pPr>
        <w:rPr>
          <w:sz w:val="24"/>
          <w:szCs w:val="24"/>
        </w:rPr>
      </w:pPr>
      <w:r>
        <w:rPr>
          <w:sz w:val="24"/>
          <w:szCs w:val="24"/>
        </w:rPr>
        <w:t xml:space="preserve">C Cornelius September 2018 </w:t>
      </w:r>
    </w:p>
    <w:sectPr w:rsidR="005A5BD6" w:rsidRPr="002C7F14" w:rsidSect="00090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49" w:rsidRDefault="00D33B49" w:rsidP="005A5BD6">
      <w:pPr>
        <w:spacing w:after="0" w:line="240" w:lineRule="auto"/>
      </w:pPr>
      <w:r>
        <w:separator/>
      </w:r>
    </w:p>
  </w:endnote>
  <w:endnote w:type="continuationSeparator" w:id="0">
    <w:p w:rsidR="00D33B49" w:rsidRDefault="00D33B49" w:rsidP="005A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D6" w:rsidRDefault="005A5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D6" w:rsidRDefault="005A5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D6" w:rsidRDefault="005A5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49" w:rsidRDefault="00D33B49" w:rsidP="005A5BD6">
      <w:pPr>
        <w:spacing w:after="0" w:line="240" w:lineRule="auto"/>
      </w:pPr>
      <w:r>
        <w:separator/>
      </w:r>
    </w:p>
  </w:footnote>
  <w:footnote w:type="continuationSeparator" w:id="0">
    <w:p w:rsidR="00D33B49" w:rsidRDefault="00D33B49" w:rsidP="005A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D6" w:rsidRDefault="005A5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D6" w:rsidRDefault="005A5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D6" w:rsidRDefault="005A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6E1B"/>
    <w:multiLevelType w:val="hybridMultilevel"/>
    <w:tmpl w:val="88A8F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046C"/>
    <w:multiLevelType w:val="hybridMultilevel"/>
    <w:tmpl w:val="97DA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1284A"/>
    <w:multiLevelType w:val="hybridMultilevel"/>
    <w:tmpl w:val="AD22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5258"/>
    <w:multiLevelType w:val="hybridMultilevel"/>
    <w:tmpl w:val="72C2DF76"/>
    <w:lvl w:ilvl="0" w:tplc="393068CA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2F09"/>
    <w:multiLevelType w:val="hybridMultilevel"/>
    <w:tmpl w:val="51243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84D80"/>
    <w:multiLevelType w:val="hybridMultilevel"/>
    <w:tmpl w:val="BE1260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845278D"/>
    <w:multiLevelType w:val="hybridMultilevel"/>
    <w:tmpl w:val="1E04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47D3"/>
    <w:multiLevelType w:val="hybridMultilevel"/>
    <w:tmpl w:val="782A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B1607"/>
    <w:multiLevelType w:val="hybridMultilevel"/>
    <w:tmpl w:val="F784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2A9C"/>
    <w:multiLevelType w:val="hybridMultilevel"/>
    <w:tmpl w:val="BA82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98"/>
    <w:rsid w:val="00074745"/>
    <w:rsid w:val="00090F6E"/>
    <w:rsid w:val="000E4626"/>
    <w:rsid w:val="002C7F14"/>
    <w:rsid w:val="00320AA9"/>
    <w:rsid w:val="003C66EC"/>
    <w:rsid w:val="00512720"/>
    <w:rsid w:val="00553494"/>
    <w:rsid w:val="005A5BD6"/>
    <w:rsid w:val="00685FC1"/>
    <w:rsid w:val="00741A73"/>
    <w:rsid w:val="007A6D72"/>
    <w:rsid w:val="00843216"/>
    <w:rsid w:val="008A696A"/>
    <w:rsid w:val="00931B13"/>
    <w:rsid w:val="00980D6D"/>
    <w:rsid w:val="00A52998"/>
    <w:rsid w:val="00B825BE"/>
    <w:rsid w:val="00B958B0"/>
    <w:rsid w:val="00D33B49"/>
    <w:rsid w:val="00DB66E5"/>
    <w:rsid w:val="00E97E8C"/>
    <w:rsid w:val="00F36A4E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EF3DA"/>
  <w15:chartTrackingRefBased/>
  <w15:docId w15:val="{832B8CAC-C2F5-4A4A-909D-9A08C4DC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D6"/>
  </w:style>
  <w:style w:type="paragraph" w:styleId="Footer">
    <w:name w:val="footer"/>
    <w:basedOn w:val="Normal"/>
    <w:link w:val="FooterChar"/>
    <w:uiPriority w:val="99"/>
    <w:unhideWhenUsed/>
    <w:rsid w:val="005A5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A8E8-20FB-4C85-8018-96FE9A09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2018-10-21T12:40:00Z</dcterms:created>
  <dcterms:modified xsi:type="dcterms:W3CDTF">2018-10-21T14:06:00Z</dcterms:modified>
</cp:coreProperties>
</file>