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Default="00704531" w:rsidP="00704531">
      <w:pPr>
        <w:spacing w:before="80" w:after="40"/>
        <w:jc w:val="center"/>
        <w:rPr>
          <w:rFonts w:eastAsiaTheme="minorEastAsia" w:hint="eastAsia"/>
          <w:b/>
          <w:bCs/>
          <w:color w:val="1B3A6B"/>
          <w:sz w:val="30"/>
          <w:szCs w:val="30"/>
        </w:rPr>
      </w:pPr>
      <w:proofErr w:type="spellStart"/>
      <w:r>
        <w:rPr>
          <w:rFonts w:eastAsiaTheme="minorEastAsia" w:hint="eastAsia"/>
          <w:b/>
          <w:bCs/>
          <w:color w:val="1B3A6B"/>
          <w:sz w:val="30"/>
          <w:szCs w:val="30"/>
        </w:rPr>
        <w:t>Kayan</w:t>
      </w:r>
      <w:proofErr w:type="spellEnd"/>
      <w:r>
        <w:rPr>
          <w:rFonts w:eastAsiaTheme="minorEastAsia" w:hint="eastAsia"/>
          <w:b/>
          <w:bCs/>
          <w:color w:val="1B3A6B"/>
          <w:sz w:val="30"/>
          <w:szCs w:val="30"/>
        </w:rPr>
        <w:t xml:space="preserve"> Securities, Inc</w:t>
      </w:r>
    </w:p>
    <w:p w:rsidR="00342D88" w:rsidRPr="00704531" w:rsidRDefault="00342D88" w:rsidP="00704531">
      <w:pPr>
        <w:spacing w:before="80" w:after="40"/>
        <w:jc w:val="center"/>
        <w:rPr>
          <w:rFonts w:hint="eastAsia"/>
        </w:rPr>
      </w:pPr>
      <w:r>
        <w:rPr>
          <w:b/>
          <w:bCs/>
          <w:color w:val="1B3A6B"/>
          <w:sz w:val="30"/>
          <w:szCs w:val="30"/>
        </w:rPr>
        <w:t>PRIVACY POLICY NOTICE</w:t>
      </w: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532"/>
        <w:gridCol w:w="3828"/>
      </w:tblGrid>
      <w:tr w:rsidR="00342D88" w:rsidTr="00F672BE">
        <w:tc>
          <w:tcPr>
            <w:tcW w:w="0" w:type="auto"/>
            <w:tcBorders>
              <w:top w:val="single" w:sz="4" w:space="0" w:color="BBBBBB"/>
              <w:left w:val="single" w:sz="4" w:space="0" w:color="BBBBBB"/>
              <w:bottom w:val="single" w:sz="4" w:space="0" w:color="BBBBBB"/>
              <w:right w:val="single" w:sz="4" w:space="0" w:color="BBBBBB"/>
            </w:tcBorders>
            <w:shd w:val="clear" w:color="auto" w:fill="E8F0FB"/>
            <w:tcMar>
              <w:top w:w="90" w:type="dxa"/>
              <w:left w:w="160" w:type="dxa"/>
              <w:bottom w:w="90" w:type="dxa"/>
              <w:right w:w="160" w:type="dxa"/>
            </w:tcMar>
          </w:tcPr>
          <w:p w:rsidR="00342D88" w:rsidRDefault="00342D88" w:rsidP="00F672BE">
            <w:pPr>
              <w:spacing w:before="40" w:after="60"/>
            </w:pPr>
            <w:r>
              <w:rPr>
                <w:b/>
                <w:bCs/>
                <w:color w:val="1B3A6B"/>
                <w:sz w:val="20"/>
                <w:szCs w:val="20"/>
              </w:rPr>
              <w:t>INFORMATION WE COLLECT</w:t>
            </w:r>
          </w:p>
          <w:p w:rsidR="00342D88" w:rsidRDefault="00342D88" w:rsidP="00F672BE">
            <w:pPr>
              <w:pStyle w:val="ListParagraph"/>
              <w:numPr>
                <w:ilvl w:val="0"/>
                <w:numId w:val="1"/>
              </w:numPr>
              <w:spacing w:before="28" w:after="28"/>
            </w:pPr>
            <w:r>
              <w:rPr>
                <w:color w:val="333333"/>
                <w:sz w:val="18"/>
                <w:szCs w:val="18"/>
              </w:rPr>
              <w:t>Name, address, date of birth, SSN / TIN</w:t>
            </w:r>
          </w:p>
          <w:p w:rsidR="00342D88" w:rsidRDefault="00342D88" w:rsidP="00F672BE">
            <w:pPr>
              <w:pStyle w:val="ListParagraph"/>
              <w:numPr>
                <w:ilvl w:val="0"/>
                <w:numId w:val="1"/>
              </w:numPr>
              <w:spacing w:before="28" w:after="28"/>
            </w:pPr>
            <w:r>
              <w:rPr>
                <w:color w:val="333333"/>
                <w:sz w:val="18"/>
                <w:szCs w:val="18"/>
              </w:rPr>
              <w:t>Employment, annual income, net worth, investment objectives</w:t>
            </w:r>
          </w:p>
          <w:p w:rsidR="00342D88" w:rsidRDefault="00342D88" w:rsidP="00F672BE">
            <w:pPr>
              <w:pStyle w:val="ListParagraph"/>
              <w:numPr>
                <w:ilvl w:val="0"/>
                <w:numId w:val="1"/>
              </w:numPr>
              <w:spacing w:before="28" w:after="28"/>
            </w:pPr>
            <w:r>
              <w:rPr>
                <w:color w:val="333333"/>
                <w:sz w:val="18"/>
                <w:szCs w:val="18"/>
              </w:rPr>
              <w:t>Account applications, agreements, and instructions</w:t>
            </w:r>
          </w:p>
          <w:p w:rsidR="00342D88" w:rsidRDefault="00342D88" w:rsidP="00F672BE">
            <w:pPr>
              <w:pStyle w:val="ListParagraph"/>
              <w:numPr>
                <w:ilvl w:val="0"/>
                <w:numId w:val="1"/>
              </w:numPr>
              <w:spacing w:before="28" w:after="28"/>
            </w:pPr>
            <w:r>
              <w:rPr>
                <w:color w:val="333333"/>
                <w:sz w:val="18"/>
                <w:szCs w:val="18"/>
              </w:rPr>
              <w:t>Mutual fund account activity — Capital Group (American Funds) and Fidelity Advisor</w:t>
            </w:r>
          </w:p>
          <w:p w:rsidR="00342D88" w:rsidRDefault="00342D88" w:rsidP="00F672BE">
            <w:pPr>
              <w:pStyle w:val="ListParagraph"/>
              <w:numPr>
                <w:ilvl w:val="0"/>
                <w:numId w:val="1"/>
              </w:numPr>
              <w:spacing w:before="28" w:after="28"/>
            </w:pPr>
            <w:r>
              <w:rPr>
                <w:color w:val="333333"/>
                <w:sz w:val="18"/>
                <w:szCs w:val="18"/>
              </w:rPr>
              <w:t xml:space="preserve">Equity, fixed income, option, and mutual fund transaction history through </w:t>
            </w:r>
            <w:proofErr w:type="spellStart"/>
            <w:r>
              <w:rPr>
                <w:color w:val="333333"/>
                <w:sz w:val="18"/>
                <w:szCs w:val="18"/>
              </w:rPr>
              <w:t>Wedbush</w:t>
            </w:r>
            <w:proofErr w:type="spellEnd"/>
            <w:r>
              <w:rPr>
                <w:color w:val="333333"/>
                <w:sz w:val="18"/>
                <w:szCs w:val="18"/>
              </w:rPr>
              <w:t xml:space="preserve"> Securities Inc. (clearing firm)</w:t>
            </w:r>
          </w:p>
          <w:p w:rsidR="00342D88" w:rsidRDefault="00342D88" w:rsidP="00F672BE">
            <w:pPr>
              <w:pStyle w:val="ListParagraph"/>
              <w:numPr>
                <w:ilvl w:val="0"/>
                <w:numId w:val="1"/>
              </w:numPr>
              <w:spacing w:before="28" w:after="28"/>
            </w:pPr>
            <w:r>
              <w:rPr>
                <w:color w:val="333333"/>
                <w:sz w:val="18"/>
                <w:szCs w:val="18"/>
              </w:rPr>
              <w:t>Account balances, statements, trade confirmations</w:t>
            </w:r>
          </w:p>
          <w:p w:rsidR="00342D88" w:rsidRDefault="00342D88" w:rsidP="00F672BE">
            <w:pPr>
              <w:pStyle w:val="ListParagraph"/>
              <w:numPr>
                <w:ilvl w:val="0"/>
                <w:numId w:val="1"/>
              </w:numPr>
              <w:spacing w:before="28" w:after="28"/>
            </w:pPr>
            <w:r>
              <w:rPr>
                <w:color w:val="333333"/>
                <w:sz w:val="18"/>
                <w:szCs w:val="18"/>
              </w:rPr>
              <w:t>Information from regulatory / compliance databases (identity verification, AML, sanctions screening)</w:t>
            </w:r>
          </w:p>
        </w:tc>
        <w:tc>
          <w:tcPr>
            <w:tcW w:w="0" w:type="auto"/>
            <w:tcBorders>
              <w:top w:val="single" w:sz="4" w:space="0" w:color="BBBBBB"/>
              <w:left w:val="single" w:sz="4" w:space="0" w:color="BBBBBB"/>
              <w:bottom w:val="single" w:sz="4" w:space="0" w:color="BBBBBB"/>
              <w:right w:val="single" w:sz="4" w:space="0" w:color="BBBBBB"/>
            </w:tcBorders>
            <w:shd w:val="clear" w:color="auto" w:fill="FFF8E8"/>
            <w:tcMar>
              <w:top w:w="90" w:type="dxa"/>
              <w:left w:w="160" w:type="dxa"/>
              <w:bottom w:w="90" w:type="dxa"/>
              <w:right w:w="160" w:type="dxa"/>
            </w:tcMar>
          </w:tcPr>
          <w:p w:rsidR="00342D88" w:rsidRDefault="00342D88" w:rsidP="00F672BE">
            <w:pPr>
              <w:spacing w:before="40" w:after="60"/>
            </w:pPr>
            <w:r>
              <w:rPr>
                <w:b/>
                <w:bCs/>
                <w:color w:val="7A4000"/>
                <w:sz w:val="20"/>
                <w:szCs w:val="20"/>
              </w:rPr>
              <w:t>WHY WE COLLECT IT</w:t>
            </w:r>
          </w:p>
          <w:p w:rsidR="00342D88" w:rsidRDefault="00342D88" w:rsidP="00F672BE">
            <w:pPr>
              <w:pStyle w:val="ListParagraph"/>
              <w:numPr>
                <w:ilvl w:val="0"/>
                <w:numId w:val="1"/>
              </w:numPr>
              <w:spacing w:before="28" w:after="28"/>
            </w:pPr>
            <w:r>
              <w:rPr>
                <w:color w:val="333333"/>
                <w:sz w:val="18"/>
                <w:szCs w:val="18"/>
              </w:rPr>
              <w:t>Open and maintain your brokerage account</w:t>
            </w:r>
          </w:p>
          <w:p w:rsidR="00342D88" w:rsidRDefault="00342D88" w:rsidP="00F672BE">
            <w:pPr>
              <w:pStyle w:val="ListParagraph"/>
              <w:numPr>
                <w:ilvl w:val="0"/>
                <w:numId w:val="1"/>
              </w:numPr>
              <w:spacing w:before="28" w:after="28"/>
            </w:pPr>
            <w:r>
              <w:rPr>
                <w:color w:val="333333"/>
                <w:sz w:val="18"/>
                <w:szCs w:val="18"/>
              </w:rPr>
              <w:t>Process mutual fund, stock, bond</w:t>
            </w:r>
            <w:r w:rsidR="00B428E8">
              <w:rPr>
                <w:rFonts w:eastAsiaTheme="minorEastAsia" w:hint="eastAsia"/>
                <w:color w:val="333333"/>
                <w:sz w:val="18"/>
                <w:szCs w:val="18"/>
              </w:rPr>
              <w:t xml:space="preserve"> and option</w:t>
            </w:r>
            <w:r>
              <w:rPr>
                <w:color w:val="333333"/>
                <w:sz w:val="18"/>
                <w:szCs w:val="18"/>
              </w:rPr>
              <w:t xml:space="preserve"> transactions</w:t>
            </w:r>
          </w:p>
          <w:p w:rsidR="00342D88" w:rsidRDefault="00342D88" w:rsidP="00F672BE">
            <w:pPr>
              <w:pStyle w:val="ListParagraph"/>
              <w:numPr>
                <w:ilvl w:val="0"/>
                <w:numId w:val="1"/>
              </w:numPr>
              <w:spacing w:before="28" w:after="28"/>
            </w:pPr>
            <w:r>
              <w:rPr>
                <w:color w:val="333333"/>
                <w:sz w:val="18"/>
                <w:szCs w:val="18"/>
              </w:rPr>
              <w:t>Deliver statements, confirms, and required disclosures</w:t>
            </w:r>
          </w:p>
          <w:p w:rsidR="00342D88" w:rsidRDefault="00342D88" w:rsidP="00F672BE">
            <w:pPr>
              <w:pStyle w:val="ListParagraph"/>
              <w:numPr>
                <w:ilvl w:val="0"/>
                <w:numId w:val="1"/>
              </w:numPr>
              <w:spacing w:before="28" w:after="28"/>
            </w:pPr>
            <w:r>
              <w:rPr>
                <w:color w:val="333333"/>
                <w:sz w:val="18"/>
                <w:szCs w:val="18"/>
              </w:rPr>
              <w:t>Meet legal, regulatory, and recordkeeping obligations (SEC, FINRA)</w:t>
            </w:r>
          </w:p>
          <w:p w:rsidR="00342D88" w:rsidRDefault="00342D88" w:rsidP="00F672BE">
            <w:pPr>
              <w:pStyle w:val="ListParagraph"/>
              <w:numPr>
                <w:ilvl w:val="0"/>
                <w:numId w:val="1"/>
              </w:numPr>
              <w:spacing w:before="28" w:after="28"/>
            </w:pPr>
            <w:r>
              <w:rPr>
                <w:color w:val="333333"/>
                <w:sz w:val="18"/>
                <w:szCs w:val="18"/>
              </w:rPr>
              <w:t>Detect and prevent fraud and unauthorized activity</w:t>
            </w:r>
          </w:p>
          <w:p w:rsidR="00342D88" w:rsidRDefault="00342D88" w:rsidP="00F672BE">
            <w:pPr>
              <w:pStyle w:val="ListParagraph"/>
              <w:numPr>
                <w:ilvl w:val="0"/>
                <w:numId w:val="1"/>
              </w:numPr>
              <w:spacing w:before="28" w:after="28"/>
            </w:pPr>
            <w:r>
              <w:rPr>
                <w:color w:val="333333"/>
                <w:sz w:val="18"/>
                <w:szCs w:val="18"/>
              </w:rPr>
              <w:t>Respond to your inquiries and service requests</w:t>
            </w:r>
          </w:p>
        </w:tc>
      </w:tr>
    </w:tbl>
    <w:p w:rsidR="00342D88" w:rsidRDefault="00342D88" w:rsidP="00342D88">
      <w:pPr>
        <w:spacing w:before="130"/>
      </w:pPr>
    </w:p>
    <w:p w:rsidR="00342D88" w:rsidRDefault="00342D88" w:rsidP="00342D88">
      <w:pPr>
        <w:pBdr>
          <w:bottom w:val="single" w:sz="4" w:space="3" w:color="1B3A6B"/>
        </w:pBdr>
        <w:spacing w:before="200" w:after="70"/>
      </w:pPr>
      <w:r>
        <w:rPr>
          <w:b/>
          <w:bCs/>
          <w:color w:val="1B3A6B"/>
          <w:sz w:val="21"/>
          <w:szCs w:val="21"/>
        </w:rPr>
        <w:t>INFORMATION SHARING — WHO RECEIVES YOUR INFORMATION</w:t>
      </w:r>
    </w:p>
    <w:p w:rsidR="00342D88" w:rsidRDefault="00342D88" w:rsidP="00342D88">
      <w:pPr>
        <w:spacing w:before="55" w:after="55"/>
        <w:jc w:val="both"/>
      </w:pPr>
      <w:r>
        <w:rPr>
          <w:color w:val="222222"/>
        </w:rPr>
        <w:t>We do not sell your personal information. We do not share your nonpublic personal information ("NPI") for marketing purposes. Sharing occurs only in these limited circumstances:</w:t>
      </w:r>
    </w:p>
    <w:p w:rsidR="00342D88" w:rsidRDefault="00342D88" w:rsidP="00342D88">
      <w:pPr>
        <w:spacing w:before="50"/>
      </w:pP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40"/>
        <w:gridCol w:w="3111"/>
        <w:gridCol w:w="3109"/>
      </w:tblGrid>
      <w:tr w:rsidR="00342D88" w:rsidTr="00F672BE">
        <w:tc>
          <w:tcPr>
            <w:tcW w:w="0" w:type="auto"/>
            <w:tcBorders>
              <w:top w:val="single" w:sz="4" w:space="0" w:color="BBBBBB"/>
              <w:left w:val="single" w:sz="4" w:space="0" w:color="BBBBBB"/>
              <w:bottom w:val="single" w:sz="4" w:space="0" w:color="BBBBBB"/>
              <w:right w:val="single" w:sz="4" w:space="0" w:color="BBBBBB"/>
            </w:tcBorders>
            <w:shd w:val="clear" w:color="auto" w:fill="E8F0FB"/>
            <w:tcMar>
              <w:top w:w="80" w:type="dxa"/>
              <w:left w:w="140" w:type="dxa"/>
              <w:bottom w:w="80" w:type="dxa"/>
              <w:right w:w="140" w:type="dxa"/>
            </w:tcMar>
          </w:tcPr>
          <w:p w:rsidR="00342D88" w:rsidRDefault="00342D88" w:rsidP="00F672BE">
            <w:pPr>
              <w:spacing w:before="40" w:after="60"/>
            </w:pPr>
            <w:r>
              <w:rPr>
                <w:b/>
                <w:bCs/>
                <w:color w:val="1B3A6B"/>
                <w:sz w:val="20"/>
                <w:szCs w:val="20"/>
              </w:rPr>
              <w:t>Clearing &amp; Processing</w:t>
            </w:r>
          </w:p>
          <w:p w:rsidR="00342D88" w:rsidRDefault="00342D88" w:rsidP="00F672BE">
            <w:pPr>
              <w:spacing w:before="36" w:after="36"/>
              <w:jc w:val="both"/>
            </w:pPr>
            <w:proofErr w:type="spellStart"/>
            <w:r>
              <w:rPr>
                <w:color w:val="333333"/>
                <w:sz w:val="18"/>
                <w:szCs w:val="18"/>
              </w:rPr>
              <w:t>Wedbush</w:t>
            </w:r>
            <w:proofErr w:type="spellEnd"/>
            <w:r>
              <w:rPr>
                <w:color w:val="333333"/>
                <w:sz w:val="18"/>
                <w:szCs w:val="18"/>
              </w:rPr>
              <w:t xml:space="preserve"> Securities Inc. acts as our clearing firm for equity, fixed-income and other transactions. It receives NPI necessary to settle, confirm, and custody your stock and bond positions.</w:t>
            </w:r>
          </w:p>
        </w:tc>
        <w:tc>
          <w:tcPr>
            <w:tcW w:w="0" w:type="auto"/>
            <w:tcBorders>
              <w:top w:val="single" w:sz="4" w:space="0" w:color="BBBBBB"/>
              <w:left w:val="single" w:sz="4" w:space="0" w:color="BBBBBB"/>
              <w:bottom w:val="single" w:sz="4" w:space="0" w:color="BBBBBB"/>
              <w:right w:val="single" w:sz="4" w:space="0" w:color="BBBBBB"/>
            </w:tcBorders>
            <w:shd w:val="clear" w:color="auto" w:fill="EAF5EA"/>
            <w:tcMar>
              <w:top w:w="80" w:type="dxa"/>
              <w:left w:w="140" w:type="dxa"/>
              <w:bottom w:w="80" w:type="dxa"/>
              <w:right w:w="140" w:type="dxa"/>
            </w:tcMar>
          </w:tcPr>
          <w:p w:rsidR="00342D88" w:rsidRDefault="00342D88" w:rsidP="00F672BE">
            <w:pPr>
              <w:spacing w:before="40" w:after="60"/>
            </w:pPr>
            <w:r>
              <w:rPr>
                <w:b/>
                <w:bCs/>
                <w:color w:val="1B3A6B"/>
                <w:sz w:val="20"/>
                <w:szCs w:val="20"/>
              </w:rPr>
              <w:t>Mutual Fund Companies</w:t>
            </w:r>
          </w:p>
          <w:p w:rsidR="00342D88" w:rsidRDefault="00342D88" w:rsidP="00F672BE">
            <w:pPr>
              <w:spacing w:before="36" w:after="36"/>
              <w:jc w:val="both"/>
            </w:pPr>
            <w:r>
              <w:rPr>
                <w:color w:val="333333"/>
                <w:sz w:val="18"/>
                <w:szCs w:val="18"/>
              </w:rPr>
              <w:t>Capital Group (American Funds) and Fidelity Advisor receive NPI necessary to establish, service, and transfer your fund accounts under our selling agreements with each fund family.</w:t>
            </w:r>
          </w:p>
        </w:tc>
        <w:tc>
          <w:tcPr>
            <w:tcW w:w="0" w:type="auto"/>
            <w:tcBorders>
              <w:top w:val="single" w:sz="4" w:space="0" w:color="BBBBBB"/>
              <w:left w:val="single" w:sz="4" w:space="0" w:color="BBBBBB"/>
              <w:bottom w:val="single" w:sz="4" w:space="0" w:color="BBBBBB"/>
              <w:right w:val="single" w:sz="4" w:space="0" w:color="BBBBBB"/>
            </w:tcBorders>
            <w:shd w:val="clear" w:color="auto" w:fill="FFF8E8"/>
            <w:tcMar>
              <w:top w:w="80" w:type="dxa"/>
              <w:left w:w="140" w:type="dxa"/>
              <w:bottom w:w="80" w:type="dxa"/>
              <w:right w:w="140" w:type="dxa"/>
            </w:tcMar>
          </w:tcPr>
          <w:p w:rsidR="00342D88" w:rsidRDefault="00342D88" w:rsidP="00F672BE">
            <w:pPr>
              <w:spacing w:before="40" w:after="60"/>
            </w:pPr>
            <w:r>
              <w:rPr>
                <w:b/>
                <w:bCs/>
                <w:color w:val="1B3A6B"/>
                <w:sz w:val="20"/>
                <w:szCs w:val="20"/>
              </w:rPr>
              <w:t>Legal &amp; Regulatory</w:t>
            </w:r>
          </w:p>
          <w:p w:rsidR="00342D88" w:rsidRDefault="00342D88" w:rsidP="00F672BE">
            <w:pPr>
              <w:spacing w:before="36" w:after="36"/>
              <w:jc w:val="both"/>
            </w:pPr>
            <w:r>
              <w:rPr>
                <w:color w:val="333333"/>
                <w:sz w:val="18"/>
                <w:szCs w:val="18"/>
              </w:rPr>
              <w:t>We may disclose NPI as required by law, court order, subpoena, or request from regulators (SEC, FINRA, state securities authorities), or to prevent fraud and unauthorized transactions.</w:t>
            </w:r>
          </w:p>
        </w:tc>
      </w:tr>
    </w:tbl>
    <w:p w:rsidR="00342D88" w:rsidRDefault="00342D88" w:rsidP="00342D88">
      <w:pPr>
        <w:spacing w:before="60"/>
      </w:pPr>
    </w:p>
    <w:tbl>
      <w:tblPr>
        <w:tblW w:w="93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342D88" w:rsidTr="00F672BE">
        <w:tc>
          <w:tcPr>
            <w:tcW w:w="0" w:type="auto"/>
            <w:tcBorders>
              <w:top w:val="single" w:sz="6" w:space="0" w:color="1B3A6B"/>
              <w:left w:val="single" w:sz="6" w:space="0" w:color="1B3A6B"/>
              <w:bottom w:val="single" w:sz="6" w:space="0" w:color="1B3A6B"/>
              <w:right w:val="single" w:sz="6" w:space="0" w:color="1B3A6B"/>
            </w:tcBorders>
            <w:shd w:val="clear" w:color="auto" w:fill="E8F0FB"/>
            <w:tcMar>
              <w:top w:w="100" w:type="dxa"/>
              <w:left w:w="180" w:type="dxa"/>
              <w:bottom w:w="100" w:type="dxa"/>
              <w:right w:w="180" w:type="dxa"/>
            </w:tcMar>
          </w:tcPr>
          <w:p w:rsidR="00342D88" w:rsidRDefault="00342D88" w:rsidP="00F672BE">
            <w:pPr>
              <w:spacing w:before="40" w:after="50"/>
            </w:pPr>
            <w:r>
              <w:rPr>
                <w:b/>
                <w:bCs/>
                <w:color w:val="1B3A6B"/>
                <w:sz w:val="20"/>
                <w:szCs w:val="20"/>
              </w:rPr>
              <w:t>No Joint Marketing Agreements</w:t>
            </w:r>
          </w:p>
          <w:p w:rsidR="00342D88" w:rsidRDefault="00342D88" w:rsidP="00F672BE">
            <w:pPr>
              <w:spacing w:before="40" w:after="40"/>
              <w:jc w:val="both"/>
            </w:pPr>
            <w:proofErr w:type="spellStart"/>
            <w:r>
              <w:rPr>
                <w:color w:val="222222"/>
              </w:rPr>
              <w:t>Kayan</w:t>
            </w:r>
            <w:proofErr w:type="spellEnd"/>
            <w:r>
              <w:rPr>
                <w:color w:val="222222"/>
              </w:rPr>
              <w:t xml:space="preserve"> Securities, Inc. has no joint marketing agreements with any company or third party, including </w:t>
            </w:r>
            <w:proofErr w:type="spellStart"/>
            <w:r>
              <w:rPr>
                <w:color w:val="222222"/>
              </w:rPr>
              <w:t>Wedbush</w:t>
            </w:r>
            <w:proofErr w:type="spellEnd"/>
            <w:r>
              <w:rPr>
                <w:color w:val="222222"/>
              </w:rPr>
              <w:t xml:space="preserve"> Securities Inc., Capital Group, or Fidelity Advisor. These firms receive only the NPI required to process and service your transactions. Your information is not used by them to market products or services to you on </w:t>
            </w:r>
            <w:proofErr w:type="spellStart"/>
            <w:r>
              <w:rPr>
                <w:color w:val="222222"/>
              </w:rPr>
              <w:t>Kayan’s</w:t>
            </w:r>
            <w:proofErr w:type="spellEnd"/>
            <w:r>
              <w:rPr>
                <w:color w:val="222222"/>
              </w:rPr>
              <w:t xml:space="preserve"> behalf.</w:t>
            </w:r>
          </w:p>
        </w:tc>
      </w:tr>
    </w:tbl>
    <w:p w:rsidR="00DF1B81" w:rsidRDefault="00DF1B81"/>
    <w:p w:rsidR="00342D88" w:rsidRDefault="00342D88" w:rsidP="00342D88">
      <w:pPr>
        <w:spacing w:before="40" w:after="60"/>
      </w:pPr>
      <w:r>
        <w:rPr>
          <w:b/>
          <w:bCs/>
          <w:color w:val="1B3A6B"/>
          <w:sz w:val="20"/>
          <w:szCs w:val="20"/>
        </w:rPr>
        <w:t>HOW WE PROTECT YOUR INFORMATION</w:t>
      </w:r>
    </w:p>
    <w:p w:rsidR="00342D88" w:rsidRDefault="00342D88" w:rsidP="00342D88">
      <w:pPr>
        <w:spacing w:before="36" w:after="36"/>
      </w:pPr>
      <w:proofErr w:type="spellStart"/>
      <w:r>
        <w:rPr>
          <w:color w:val="333333"/>
          <w:sz w:val="18"/>
          <w:szCs w:val="18"/>
        </w:rPr>
        <w:t>Kayan</w:t>
      </w:r>
      <w:proofErr w:type="spellEnd"/>
      <w:r>
        <w:rPr>
          <w:color w:val="333333"/>
          <w:sz w:val="18"/>
          <w:szCs w:val="18"/>
        </w:rPr>
        <w:t xml:space="preserve"> maintains a written information security program under the Safeguards Rule (17 C.F.R. § 248.30):</w:t>
      </w:r>
    </w:p>
    <w:p w:rsidR="00342D88" w:rsidRDefault="00342D88" w:rsidP="00342D88">
      <w:pPr>
        <w:rPr>
          <w:color w:val="333333"/>
          <w:sz w:val="18"/>
          <w:szCs w:val="18"/>
        </w:rPr>
      </w:pPr>
      <w:r>
        <w:rPr>
          <w:color w:val="333333"/>
          <w:sz w:val="18"/>
          <w:szCs w:val="18"/>
        </w:rPr>
        <w:t>In the event of a security incident, we will notify affected customers and regulators as required by law.</w:t>
      </w:r>
    </w:p>
    <w:p w:rsidR="00342D88" w:rsidRDefault="00342D88" w:rsidP="00342D88">
      <w:pPr>
        <w:rPr>
          <w:color w:val="333333"/>
          <w:sz w:val="18"/>
          <w:szCs w:val="18"/>
        </w:rPr>
      </w:pPr>
    </w:p>
    <w:p w:rsidR="00342D88" w:rsidRDefault="00342D88" w:rsidP="00342D88">
      <w:pPr>
        <w:spacing w:before="40" w:after="60"/>
      </w:pPr>
      <w:proofErr w:type="gramStart"/>
      <w:r>
        <w:rPr>
          <w:b/>
          <w:bCs/>
          <w:color w:val="7A4000"/>
          <w:sz w:val="20"/>
          <w:szCs w:val="20"/>
        </w:rPr>
        <w:t>YOUR</w:t>
      </w:r>
      <w:proofErr w:type="gramEnd"/>
      <w:r>
        <w:rPr>
          <w:b/>
          <w:bCs/>
          <w:color w:val="7A4000"/>
          <w:sz w:val="20"/>
          <w:szCs w:val="20"/>
        </w:rPr>
        <w:t xml:space="preserve"> RIGHTS &amp; OPT-OUT</w:t>
      </w:r>
    </w:p>
    <w:p w:rsidR="00342D88" w:rsidRDefault="00342D88" w:rsidP="00342D88">
      <w:pPr>
        <w:spacing w:before="36" w:after="36"/>
        <w:jc w:val="both"/>
      </w:pPr>
      <w:r>
        <w:rPr>
          <w:color w:val="333333"/>
          <w:sz w:val="18"/>
          <w:szCs w:val="18"/>
        </w:rPr>
        <w:t xml:space="preserve">Federal law (GLBA / </w:t>
      </w:r>
      <w:proofErr w:type="spellStart"/>
      <w:r>
        <w:rPr>
          <w:color w:val="333333"/>
          <w:sz w:val="18"/>
          <w:szCs w:val="18"/>
        </w:rPr>
        <w:t>Reg</w:t>
      </w:r>
      <w:proofErr w:type="spellEnd"/>
      <w:r>
        <w:rPr>
          <w:color w:val="333333"/>
          <w:sz w:val="18"/>
          <w:szCs w:val="18"/>
        </w:rPr>
        <w:t xml:space="preserve"> S-P) gives you the right to limit certain sharing with nonaffiliated third parties. Because all of </w:t>
      </w:r>
      <w:proofErr w:type="spellStart"/>
      <w:r>
        <w:rPr>
          <w:color w:val="333333"/>
          <w:sz w:val="18"/>
          <w:szCs w:val="18"/>
        </w:rPr>
        <w:t>Kayan’s</w:t>
      </w:r>
      <w:proofErr w:type="spellEnd"/>
      <w:r>
        <w:rPr>
          <w:color w:val="333333"/>
          <w:sz w:val="18"/>
          <w:szCs w:val="18"/>
        </w:rPr>
        <w:t xml:space="preserve"> current sharing falls within permitted exceptions (transaction processing, legal compliance), no opt-out election is required at this time.</w:t>
      </w:r>
    </w:p>
    <w:p w:rsidR="00342D88" w:rsidRDefault="00342D88" w:rsidP="00342D88">
      <w:pPr>
        <w:spacing w:before="30"/>
      </w:pPr>
    </w:p>
    <w:p w:rsidR="00342D88" w:rsidRDefault="00342D88" w:rsidP="00342D88">
      <w:pPr>
        <w:spacing w:before="36" w:after="36"/>
        <w:jc w:val="both"/>
      </w:pPr>
      <w:r>
        <w:rPr>
          <w:color w:val="333333"/>
          <w:sz w:val="18"/>
          <w:szCs w:val="18"/>
        </w:rPr>
        <w:t>If our practices change to require an opt-out, we will notify you and provide a reasonable opportunity to opt out before any such sharing begins.</w:t>
      </w:r>
    </w:p>
    <w:p w:rsidR="00342D88" w:rsidRDefault="00342D88" w:rsidP="00342D88">
      <w:pPr>
        <w:spacing w:before="60"/>
      </w:pPr>
    </w:p>
    <w:p w:rsidR="00342D88" w:rsidRDefault="00342D88" w:rsidP="00342D88">
      <w:pPr>
        <w:spacing w:before="40" w:after="60"/>
      </w:pPr>
      <w:r>
        <w:rPr>
          <w:b/>
          <w:bCs/>
          <w:color w:val="1B3A6B"/>
          <w:sz w:val="20"/>
          <w:szCs w:val="20"/>
        </w:rPr>
        <w:t xml:space="preserve">CONTACT US: Chief Compliance </w:t>
      </w:r>
      <w:proofErr w:type="gramStart"/>
      <w:r>
        <w:rPr>
          <w:b/>
          <w:bCs/>
          <w:color w:val="1B3A6B"/>
          <w:sz w:val="20"/>
          <w:szCs w:val="20"/>
        </w:rPr>
        <w:t>Officer</w:t>
      </w:r>
      <w:r>
        <w:t xml:space="preserve"> :</w:t>
      </w:r>
      <w:proofErr w:type="gramEnd"/>
      <w:r>
        <w:t xml:space="preserve"> </w:t>
      </w:r>
      <w:hyperlink r:id="rId5" w:history="1">
        <w:r w:rsidRPr="003B1DB5">
          <w:rPr>
            <w:rStyle w:val="Hyperlink"/>
            <w:sz w:val="18"/>
            <w:szCs w:val="18"/>
          </w:rPr>
          <w:t>Tel:(213)739-0998</w:t>
        </w:r>
      </w:hyperlink>
      <w:r>
        <w:rPr>
          <w:color w:val="333333"/>
          <w:sz w:val="18"/>
          <w:szCs w:val="18"/>
        </w:rPr>
        <w:t xml:space="preserve">, </w:t>
      </w:r>
      <w:r w:rsidR="00E61019">
        <w:rPr>
          <w:color w:val="333333"/>
          <w:sz w:val="18"/>
          <w:szCs w:val="18"/>
        </w:rPr>
        <w:t xml:space="preserve"> </w:t>
      </w:r>
      <w:r>
        <w:rPr>
          <w:color w:val="333333"/>
          <w:sz w:val="18"/>
          <w:szCs w:val="18"/>
        </w:rPr>
        <w:t>Email: yskim@kayansecurities.com</w:t>
      </w:r>
    </w:p>
    <w:sectPr w:rsidR="00342D88" w:rsidSect="00DF1B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5742F"/>
    <w:multiLevelType w:val="hybridMultilevel"/>
    <w:tmpl w:val="FF4A7B5A"/>
    <w:lvl w:ilvl="0" w:tplc="ADCE5740">
      <w:start w:val="1"/>
      <w:numFmt w:val="bullet"/>
      <w:lvlText w:val="•"/>
      <w:lvlJc w:val="left"/>
      <w:pPr>
        <w:ind w:left="500" w:hanging="250"/>
      </w:pPr>
    </w:lvl>
    <w:lvl w:ilvl="1" w:tplc="B7C6AC60">
      <w:numFmt w:val="decimal"/>
      <w:lvlText w:val=""/>
      <w:lvlJc w:val="left"/>
    </w:lvl>
    <w:lvl w:ilvl="2" w:tplc="6A189326">
      <w:numFmt w:val="decimal"/>
      <w:lvlText w:val=""/>
      <w:lvlJc w:val="left"/>
    </w:lvl>
    <w:lvl w:ilvl="3" w:tplc="94146B04">
      <w:numFmt w:val="decimal"/>
      <w:lvlText w:val=""/>
      <w:lvlJc w:val="left"/>
    </w:lvl>
    <w:lvl w:ilvl="4" w:tplc="15A47380">
      <w:numFmt w:val="decimal"/>
      <w:lvlText w:val=""/>
      <w:lvlJc w:val="left"/>
    </w:lvl>
    <w:lvl w:ilvl="5" w:tplc="711E10A8">
      <w:numFmt w:val="decimal"/>
      <w:lvlText w:val=""/>
      <w:lvlJc w:val="left"/>
    </w:lvl>
    <w:lvl w:ilvl="6" w:tplc="67D8247C">
      <w:numFmt w:val="decimal"/>
      <w:lvlText w:val=""/>
      <w:lvlJc w:val="left"/>
    </w:lvl>
    <w:lvl w:ilvl="7" w:tplc="2B40A1E6">
      <w:numFmt w:val="decimal"/>
      <w:lvlText w:val=""/>
      <w:lvlJc w:val="left"/>
    </w:lvl>
    <w:lvl w:ilvl="8" w:tplc="63427068">
      <w:numFmt w:val="decimal"/>
      <w:lvlText w:val=""/>
      <w:lvlJc w:val="left"/>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useFELayout/>
  </w:compat>
  <w:rsids>
    <w:rsidRoot w:val="00342D88"/>
    <w:rsid w:val="00342D88"/>
    <w:rsid w:val="003D258F"/>
    <w:rsid w:val="00704531"/>
    <w:rsid w:val="0074421B"/>
    <w:rsid w:val="008817D1"/>
    <w:rsid w:val="00B428E8"/>
    <w:rsid w:val="00BB599D"/>
    <w:rsid w:val="00C23652"/>
    <w:rsid w:val="00DF1B81"/>
    <w:rsid w:val="00E61019"/>
    <w:rsid w:val="00E65026"/>
    <w:rsid w:val="00FE1C4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D88"/>
    <w:pPr>
      <w:spacing w:after="0" w:line="240" w:lineRule="auto"/>
    </w:pPr>
    <w:rPr>
      <w:rFonts w:ascii="Arial" w:eastAsia="Arial" w:hAnsi="Arial" w:cs="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342D88"/>
    <w:pPr>
      <w:spacing w:after="0" w:line="240" w:lineRule="auto"/>
    </w:pPr>
    <w:rPr>
      <w:rFonts w:ascii="Arial" w:eastAsia="Arial" w:hAnsi="Arial" w:cs="Arial"/>
      <w:sz w:val="19"/>
      <w:szCs w:val="19"/>
    </w:rPr>
  </w:style>
  <w:style w:type="character" w:styleId="Hyperlink">
    <w:name w:val="Hyperlink"/>
    <w:basedOn w:val="DefaultParagraphFont"/>
    <w:uiPriority w:val="99"/>
    <w:unhideWhenUsed/>
    <w:rsid w:val="00342D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213)739-09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 soo kim</dc:creator>
  <cp:lastModifiedBy>yong soo kim</cp:lastModifiedBy>
  <cp:revision>7</cp:revision>
  <dcterms:created xsi:type="dcterms:W3CDTF">2026-04-24T17:25:00Z</dcterms:created>
  <dcterms:modified xsi:type="dcterms:W3CDTF">2026-04-26T19:42:00Z</dcterms:modified>
</cp:coreProperties>
</file>