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F99DF" w14:textId="77777777" w:rsidR="00305E16" w:rsidRPr="006F6E61" w:rsidRDefault="00305E16" w:rsidP="00305E16">
      <w:pPr>
        <w:spacing w:after="0" w:line="240" w:lineRule="auto"/>
        <w:jc w:val="center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Who Takes Accountability?</w:t>
      </w:r>
    </w:p>
    <w:p w14:paraId="159CC3BF" w14:textId="52C3742E" w:rsidR="00305E16" w:rsidRPr="006F6E61" w:rsidRDefault="00305E16" w:rsidP="00305E16">
      <w:pPr>
        <w:spacing w:after="0" w:line="240" w:lineRule="auto"/>
        <w:jc w:val="center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‘WE HAVE ALWAYS DONE IT THIS WAY’</w:t>
      </w:r>
    </w:p>
    <w:p w14:paraId="12A5DC23" w14:textId="38BD5440" w:rsidR="00305E16" w:rsidRPr="006F6E61" w:rsidRDefault="00D52606" w:rsidP="00305E16">
      <w:pPr>
        <w:spacing w:after="0" w:line="240" w:lineRule="auto"/>
        <w:jc w:val="center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The </w:t>
      </w:r>
      <w:r w:rsidR="009C3457"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Lack of </w:t>
      </w:r>
      <w:r w:rsidR="00305E16"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Behavioural Change within Education, Health and Social Care</w:t>
      </w:r>
      <w:r w:rsid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Departments or Institutions directly c</w:t>
      </w:r>
      <w:r w:rsidR="009C3457"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orrelate</w:t>
      </w:r>
      <w:r w:rsidR="00F66EE3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s</w:t>
      </w:r>
      <w:bookmarkStart w:id="0" w:name="_GoBack"/>
      <w:bookmarkEnd w:id="0"/>
      <w:r w:rsidR="009C3457"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to</w:t>
      </w:r>
    </w:p>
    <w:p w14:paraId="110ECEB8" w14:textId="2E596600" w:rsidR="00305E16" w:rsidRPr="006F6E61" w:rsidRDefault="00305E16" w:rsidP="00305E16">
      <w:pPr>
        <w:spacing w:after="0" w:line="240" w:lineRule="auto"/>
        <w:jc w:val="center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The Exponential Rise in </w:t>
      </w:r>
      <w:r w:rsidR="000609D0"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>Continued</w:t>
      </w:r>
      <w:r w:rsidRPr="006F6E61"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  <w:t xml:space="preserve"> Lack of Accountability </w:t>
      </w:r>
    </w:p>
    <w:p w14:paraId="40977CA7" w14:textId="7B0ECF21" w:rsidR="00EC596E" w:rsidRPr="006F6E61" w:rsidRDefault="00EC596E" w:rsidP="00305E16">
      <w:pPr>
        <w:spacing w:after="0" w:line="240" w:lineRule="auto"/>
        <w:jc w:val="center"/>
        <w:rPr>
          <w:rFonts w:cstheme="minorHAnsi"/>
          <w14:textOutline w14:w="5270" w14:cap="flat" w14:cmpd="sng" w14:algn="ctr">
            <w14:noFill/>
            <w14:prstDash w14:val="solid"/>
            <w14:round/>
          </w14:textOutline>
        </w:rPr>
      </w:pPr>
      <w:r w:rsidRPr="006F6E61">
        <w:rPr>
          <w:rFonts w:cstheme="minorHAnsi"/>
          <w:vertAlign w:val="superscript"/>
          <w14:textOutline w14:w="5270" w14:cap="flat" w14:cmpd="sng" w14:algn="ctr">
            <w14:noFill/>
            <w14:prstDash w14:val="solid"/>
            <w14:round/>
          </w14:textOutline>
        </w:rPr>
        <w:t>©</w:t>
      </w:r>
      <w:r w:rsidRPr="006F6E61">
        <w:rPr>
          <w:rFonts w:cstheme="minorHAnsi"/>
          <w14:textOutline w14:w="5270" w14:cap="flat" w14:cmpd="sng" w14:algn="ctr">
            <w14:noFill/>
            <w14:prstDash w14:val="solid"/>
            <w14:round/>
          </w14:textOutline>
        </w:rPr>
        <w:t>JH Willicott</w:t>
      </w:r>
      <w:r w:rsidR="00D52606">
        <w:rPr>
          <w:rFonts w:cstheme="minorHAnsi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</w:p>
    <w:p w14:paraId="4B2DEBCC" w14:textId="0E45223A" w:rsidR="00DC2F63" w:rsidRPr="006F6E61" w:rsidRDefault="00DC2F63" w:rsidP="00305E16">
      <w:pPr>
        <w:spacing w:after="0" w:line="240" w:lineRule="auto"/>
        <w:jc w:val="center"/>
        <w:rPr>
          <w:rFonts w:cstheme="minorHAnsi"/>
          <w:b/>
          <w14:textOutline w14:w="5270" w14:cap="flat" w14:cmpd="sng" w14:algn="ctr">
            <w14:noFill/>
            <w14:prstDash w14:val="solid"/>
            <w14:round/>
          </w14:textOutline>
        </w:rPr>
      </w:pPr>
    </w:p>
    <w:p w14:paraId="67866490" w14:textId="242C11BF" w:rsidR="00305E16" w:rsidRPr="006F6E61" w:rsidRDefault="00305E16" w:rsidP="00305E16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“Our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F6E61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overnment is here to protect us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it shouldn’t be about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SEND F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amilies and </w:t>
      </w:r>
      <w:r w:rsidR="001003D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their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C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hildren having to protect themselves from our </w:t>
      </w:r>
      <w:r w:rsidR="001003D0">
        <w:rPr>
          <w:rFonts w:asciiTheme="minorHAnsi" w:hAnsiTheme="minorHAnsi" w:cstheme="minorHAnsi"/>
          <w:b w:val="0"/>
          <w:bCs w:val="0"/>
          <w:sz w:val="22"/>
          <w:szCs w:val="22"/>
        </w:rPr>
        <w:t>G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overnment</w:t>
      </w:r>
      <w:r w:rsidR="001003D0">
        <w:rPr>
          <w:rFonts w:asciiTheme="minorHAnsi" w:hAnsiTheme="minorHAnsi" w:cstheme="minorHAnsi"/>
          <w:b w:val="0"/>
          <w:bCs w:val="0"/>
          <w:sz w:val="22"/>
          <w:szCs w:val="22"/>
        </w:rPr>
        <w:t>’s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SEND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failures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.”</w:t>
      </w:r>
    </w:p>
    <w:p w14:paraId="70D6D22C" w14:textId="26C21888" w:rsidR="00305E16" w:rsidRPr="006F6E61" w:rsidRDefault="00305E16" w:rsidP="00305E16">
      <w:pPr>
        <w:pStyle w:val="Heading1"/>
        <w:spacing w:before="0" w:beforeAutospacing="0"/>
        <w:jc w:val="center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~JH Willicott (2019)</w:t>
      </w:r>
    </w:p>
    <w:p w14:paraId="6DE88742" w14:textId="77777777" w:rsidR="00DC2F63" w:rsidRPr="006F6E61" w:rsidRDefault="00DC2F63" w:rsidP="00305E16">
      <w:pPr>
        <w:spacing w:after="0" w:line="240" w:lineRule="auto"/>
        <w:ind w:left="720"/>
        <w:jc w:val="center"/>
        <w:rPr>
          <w:rFonts w:cstheme="minorHAnsi"/>
          <w:lang w:val="en"/>
        </w:rPr>
      </w:pPr>
      <w:r w:rsidRPr="006F6E61">
        <w:rPr>
          <w:rFonts w:cstheme="minorHAnsi"/>
          <w:lang w:val="en"/>
        </w:rPr>
        <w:t>"An ounce of prevention is worth a pound of cure.</w:t>
      </w:r>
    </w:p>
    <w:p w14:paraId="0C99EBE3" w14:textId="77777777" w:rsidR="00DC2F63" w:rsidRPr="006F6E61" w:rsidRDefault="00DC2F63" w:rsidP="00305E16">
      <w:pPr>
        <w:spacing w:after="0" w:line="240" w:lineRule="auto"/>
        <w:ind w:left="720"/>
        <w:jc w:val="center"/>
        <w:rPr>
          <w:rFonts w:cstheme="minorHAnsi"/>
          <w:lang w:val="en"/>
        </w:rPr>
      </w:pPr>
      <w:r w:rsidRPr="006F6E61">
        <w:rPr>
          <w:rFonts w:cstheme="minorHAnsi"/>
          <w:lang w:val="en"/>
        </w:rPr>
        <w:t>It's more prudent to head off a disaster beforehand than</w:t>
      </w:r>
    </w:p>
    <w:p w14:paraId="07FB0F27" w14:textId="77777777" w:rsidR="00DC2F63" w:rsidRPr="006F6E61" w:rsidRDefault="00DC2F63" w:rsidP="00305E16">
      <w:pPr>
        <w:spacing w:after="0" w:line="240" w:lineRule="auto"/>
        <w:ind w:left="720"/>
        <w:jc w:val="center"/>
        <w:rPr>
          <w:rFonts w:cstheme="minorHAnsi"/>
          <w:lang w:val="en"/>
        </w:rPr>
      </w:pPr>
      <w:r w:rsidRPr="006F6E61">
        <w:rPr>
          <w:rFonts w:cstheme="minorHAnsi"/>
          <w:lang w:val="en"/>
        </w:rPr>
        <w:t>to deal with it after it occurs.”</w:t>
      </w:r>
    </w:p>
    <w:p w14:paraId="4580FAAC" w14:textId="1C7C8006" w:rsidR="00DC2F63" w:rsidRPr="006F6E61" w:rsidRDefault="00305E16" w:rsidP="00305E16">
      <w:pPr>
        <w:spacing w:after="0" w:line="240" w:lineRule="auto"/>
        <w:ind w:left="720"/>
        <w:jc w:val="center"/>
        <w:rPr>
          <w:rFonts w:cstheme="minorHAnsi"/>
          <w:lang w:val="en"/>
        </w:rPr>
      </w:pPr>
      <w:r w:rsidRPr="006F6E61">
        <w:rPr>
          <w:rFonts w:cstheme="minorHAnsi"/>
          <w:lang w:val="en"/>
        </w:rPr>
        <w:t>~</w:t>
      </w:r>
      <w:r w:rsidR="00DC2F63" w:rsidRPr="006F6E61">
        <w:rPr>
          <w:rFonts w:cstheme="minorHAnsi"/>
          <w:lang w:val="en"/>
        </w:rPr>
        <w:t xml:space="preserve"> 'De Legibus' (c. 1240)</w:t>
      </w:r>
    </w:p>
    <w:p w14:paraId="001D7879" w14:textId="77777777" w:rsidR="00DC2F63" w:rsidRPr="006F6E61" w:rsidRDefault="00DC2F63" w:rsidP="00305E16">
      <w:pPr>
        <w:spacing w:before="240" w:after="0" w:line="240" w:lineRule="auto"/>
        <w:ind w:left="720"/>
        <w:jc w:val="center"/>
        <w:rPr>
          <w:rFonts w:cstheme="minorHAnsi"/>
          <w:lang w:val="en"/>
        </w:rPr>
      </w:pPr>
      <w:r w:rsidRPr="006F6E61">
        <w:rPr>
          <w:rFonts w:cstheme="minorHAnsi"/>
          <w:lang w:val="en"/>
        </w:rPr>
        <w:t>"Meet the malady on its way." ~ Persius (A.D.c 58)</w:t>
      </w:r>
    </w:p>
    <w:p w14:paraId="05A36139" w14:textId="77777777" w:rsidR="00DC2F63" w:rsidRPr="00DC2F63" w:rsidRDefault="000457FA" w:rsidP="00DC2F63">
      <w:pPr>
        <w:spacing w:before="240" w:after="0" w:line="240" w:lineRule="auto"/>
        <w:ind w:left="720"/>
        <w:jc w:val="center"/>
        <w:rPr>
          <w:rFonts w:cstheme="minorHAnsi"/>
          <w:sz w:val="24"/>
          <w:szCs w:val="24"/>
          <w:lang w:val="en"/>
        </w:rPr>
      </w:pPr>
      <w:r>
        <w:rPr>
          <w:rFonts w:cstheme="minorHAnsi"/>
          <w:noProof/>
          <w:sz w:val="24"/>
          <w:szCs w:val="24"/>
          <w:lang w:val="en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FB01AA4" wp14:editId="41FACD96">
                <wp:simplePos x="0" y="0"/>
                <wp:positionH relativeFrom="column">
                  <wp:posOffset>3373140</wp:posOffset>
                </wp:positionH>
                <wp:positionV relativeFrom="paragraph">
                  <wp:posOffset>226515</wp:posOffset>
                </wp:positionV>
                <wp:extent cx="19800" cy="1800"/>
                <wp:effectExtent l="38100" t="57150" r="56515" b="55880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98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68234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64.9pt;margin-top:17.15pt;width:2.95pt;height: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">
                <v:imagedata r:id="rId6" o:title=""/>
              </v:shape>
            </w:pict>
          </mc:Fallback>
        </mc:AlternateContent>
      </w:r>
    </w:p>
    <w:p w14:paraId="19EE4DC2" w14:textId="600977C6" w:rsidR="00EC596E" w:rsidRDefault="00EC596E" w:rsidP="006F6E61">
      <w:pPr>
        <w:spacing w:after="0"/>
        <w:rPr>
          <w:rFonts w:cstheme="minorHAnsi"/>
        </w:rPr>
      </w:pPr>
      <w:r w:rsidRPr="006F6E61">
        <w:rPr>
          <w:rFonts w:cstheme="minorHAnsi"/>
        </w:rPr>
        <w:t>[Janet Willicott – Independent Public Health Researcher (Public Health</w:t>
      </w:r>
      <w:r w:rsidR="001003D0">
        <w:rPr>
          <w:rFonts w:cstheme="minorHAnsi"/>
        </w:rPr>
        <w:t xml:space="preserve">, Public Health Law and Educational Law, </w:t>
      </w:r>
      <w:r w:rsidRPr="006F6E61">
        <w:rPr>
          <w:rFonts w:cstheme="minorHAnsi"/>
        </w:rPr>
        <w:t xml:space="preserve">Social Sciences </w:t>
      </w:r>
      <w:r w:rsidR="001003D0">
        <w:rPr>
          <w:rFonts w:cstheme="minorHAnsi"/>
        </w:rPr>
        <w:t>[Environmental Psychology, Neurology, Behavioural Sciences, Rare Disease Phenotypes] for</w:t>
      </w:r>
      <w:r w:rsidRPr="006F6E61">
        <w:rPr>
          <w:rFonts w:cstheme="minorHAnsi"/>
        </w:rPr>
        <w:t xml:space="preserve"> SEND Education</w:t>
      </w:r>
      <w:r w:rsidR="001003D0">
        <w:rPr>
          <w:rFonts w:cstheme="minorHAnsi"/>
        </w:rPr>
        <w:t xml:space="preserve"> Outcomes and </w:t>
      </w:r>
      <w:r w:rsidRPr="006F6E61">
        <w:rPr>
          <w:rFonts w:cstheme="minorHAnsi"/>
        </w:rPr>
        <w:t>Neuro Plasticity model</w:t>
      </w:r>
      <w:r w:rsidR="006F6E61">
        <w:rPr>
          <w:rFonts w:cstheme="minorHAnsi"/>
        </w:rPr>
        <w:t>s</w:t>
      </w:r>
      <w:r w:rsidRPr="006F6E61">
        <w:rPr>
          <w:rFonts w:cstheme="minorHAnsi"/>
        </w:rPr>
        <w:t xml:space="preserve"> for those with </w:t>
      </w:r>
      <w:r w:rsidR="001003D0">
        <w:rPr>
          <w:rFonts w:cstheme="minorHAnsi"/>
        </w:rPr>
        <w:t xml:space="preserve">SEND and </w:t>
      </w:r>
      <w:r w:rsidRPr="006F6E61">
        <w:rPr>
          <w:rFonts w:cstheme="minorHAnsi"/>
        </w:rPr>
        <w:t xml:space="preserve">SETD 5). Mother, Carer and </w:t>
      </w:r>
      <w:r w:rsidR="00305E16" w:rsidRPr="006F6E61">
        <w:rPr>
          <w:rFonts w:cstheme="minorHAnsi"/>
        </w:rPr>
        <w:t>outspoken</w:t>
      </w:r>
      <w:r w:rsidRPr="006F6E61">
        <w:rPr>
          <w:rFonts w:cstheme="minorHAnsi"/>
        </w:rPr>
        <w:t xml:space="preserve"> Advocate for </w:t>
      </w:r>
      <w:r w:rsidR="006F6E61">
        <w:rPr>
          <w:rFonts w:cstheme="minorHAnsi"/>
        </w:rPr>
        <w:t xml:space="preserve">ALL </w:t>
      </w:r>
      <w:r w:rsidRPr="006F6E61">
        <w:rPr>
          <w:rFonts w:cstheme="minorHAnsi"/>
        </w:rPr>
        <w:t xml:space="preserve">children. Hobbies include: Educational </w:t>
      </w:r>
      <w:r w:rsidR="00305E16" w:rsidRPr="006F6E61">
        <w:rPr>
          <w:rFonts w:cstheme="minorHAnsi"/>
        </w:rPr>
        <w:t>N</w:t>
      </w:r>
      <w:r w:rsidRPr="006F6E61">
        <w:rPr>
          <w:rFonts w:cstheme="minorHAnsi"/>
        </w:rPr>
        <w:t xml:space="preserve">euroscience, </w:t>
      </w:r>
      <w:r w:rsidR="00305E16" w:rsidRPr="006F6E61">
        <w:rPr>
          <w:rFonts w:cstheme="minorHAnsi"/>
        </w:rPr>
        <w:t>f</w:t>
      </w:r>
      <w:r w:rsidRPr="006F6E61">
        <w:rPr>
          <w:rFonts w:cstheme="minorHAnsi"/>
        </w:rPr>
        <w:t xml:space="preserve">ood, </w:t>
      </w:r>
      <w:r w:rsidR="00305E16" w:rsidRPr="006F6E61">
        <w:rPr>
          <w:rFonts w:cstheme="minorHAnsi"/>
        </w:rPr>
        <w:t>e</w:t>
      </w:r>
      <w:r w:rsidRPr="006F6E61">
        <w:rPr>
          <w:rFonts w:cstheme="minorHAnsi"/>
        </w:rPr>
        <w:t>ating chocolate and running</w:t>
      </w:r>
      <w:r w:rsidR="001003D0">
        <w:rPr>
          <w:rFonts w:cstheme="minorHAnsi"/>
        </w:rPr>
        <w:t>, craft gin</w:t>
      </w:r>
      <w:r w:rsidRPr="006F6E61">
        <w:rPr>
          <w:rFonts w:cstheme="minorHAnsi"/>
        </w:rPr>
        <w:t>.]</w:t>
      </w:r>
    </w:p>
    <w:p w14:paraId="398594DE" w14:textId="77777777" w:rsidR="006F6E61" w:rsidRPr="006F6E61" w:rsidRDefault="006F6E61" w:rsidP="006F6E61">
      <w:pPr>
        <w:spacing w:after="0"/>
        <w:rPr>
          <w:rFonts w:cstheme="minorHAnsi"/>
        </w:rPr>
      </w:pPr>
    </w:p>
    <w:p w14:paraId="2DC371D1" w14:textId="5C178A31" w:rsidR="00305E16" w:rsidRDefault="00305E16" w:rsidP="006F6E61">
      <w:pPr>
        <w:shd w:val="clear" w:color="auto" w:fill="FFFFFF"/>
        <w:spacing w:after="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</w:pPr>
      <w:r w:rsidRPr="006F6E61">
        <w:rPr>
          <w:rFonts w:eastAsia="Times New Roman" w:cstheme="minorHAnsi"/>
        </w:rPr>
        <w:t>[</w:t>
      </w:r>
      <w:r w:rsidRPr="006F6E61">
        <w:rPr>
          <w:rFonts w:eastAsia="Times New Roman" w:cstheme="minorHAnsi"/>
        </w:rPr>
        <w:t>The Rule of Law is just that, the law applies equally to all</w:t>
      </w:r>
      <w:r w:rsidR="001003D0">
        <w:rPr>
          <w:rFonts w:eastAsia="Times New Roman" w:cstheme="minorHAnsi"/>
        </w:rPr>
        <w:t>. L</w:t>
      </w:r>
      <w:r w:rsidRPr="006F6E61">
        <w:rPr>
          <w:rFonts w:eastAsia="Times New Roman" w:cstheme="minorHAnsi"/>
        </w:rPr>
        <w:t>ack of the rule of law can be found in both democracies and monarchies</w:t>
      </w:r>
      <w:r w:rsidR="00B24EFF">
        <w:rPr>
          <w:rFonts w:eastAsia="Times New Roman" w:cstheme="minorHAnsi"/>
        </w:rPr>
        <w:t xml:space="preserve">, </w:t>
      </w:r>
      <w:r w:rsidR="001003D0">
        <w:rPr>
          <w:rFonts w:eastAsia="Times New Roman" w:cstheme="minorHAnsi"/>
        </w:rPr>
        <w:t xml:space="preserve">by simple virtue </w:t>
      </w:r>
      <w:r w:rsidRPr="006F6E61">
        <w:rPr>
          <w:rFonts w:eastAsia="Times New Roman" w:cstheme="minorHAnsi"/>
        </w:rPr>
        <w:t>of neglect or ignorance of the law</w:t>
      </w:r>
      <w:r w:rsidRPr="006F6E61">
        <w:rPr>
          <w:rFonts w:eastAsia="Times New Roman" w:cstheme="minorHAnsi"/>
        </w:rPr>
        <w:t>.  T</w:t>
      </w:r>
      <w:r w:rsidRPr="006F6E61">
        <w:rPr>
          <w:rFonts w:eastAsia="Times New Roman" w:cstheme="minorHAnsi"/>
        </w:rPr>
        <w:t>he rule of law is more apt to decay</w:t>
      </w:r>
      <w:r w:rsidRPr="006F6E61">
        <w:rPr>
          <w:rFonts w:eastAsia="Times New Roman" w:cstheme="minorHAnsi"/>
        </w:rPr>
        <w:t>,</w:t>
      </w:r>
      <w:r w:rsidRPr="006F6E61">
        <w:rPr>
          <w:rFonts w:eastAsia="Times New Roman" w:cstheme="minorHAnsi"/>
        </w:rPr>
        <w:t xml:space="preserve"> if a government has insufficient corrective mechanisms for restoring it.</w:t>
      </w:r>
      <w:r w:rsidRPr="006F6E61">
        <w:rPr>
          <w:rFonts w:eastAsia="Times New Roman" w:cstheme="minorHAnsi"/>
        </w:rPr>
        <w:t xml:space="preserve"> </w:t>
      </w:r>
      <w:r w:rsidRPr="006F6E61">
        <w:rPr>
          <w:rFonts w:eastAsia="Times New Roman" w:cstheme="minorHAnsi"/>
          <w:bdr w:val="none" w:sz="0" w:space="0" w:color="auto" w:frame="1"/>
          <w:lang w:eastAsia="en-GB"/>
        </w:rPr>
        <w:t>T</w:t>
      </w:r>
      <w:r w:rsidRPr="006F6E61">
        <w:rPr>
          <w:rFonts w:eastAsia="Times New Roman" w:cstheme="minorHAnsi"/>
          <w:bdr w:val="none" w:sz="0" w:space="0" w:color="auto" w:frame="1"/>
          <w:lang w:eastAsia="en-GB"/>
        </w:rPr>
        <w:t>he rule of law</w:t>
      </w:r>
      <w:r w:rsidRPr="006F6E61">
        <w:rPr>
          <w:rFonts w:eastAsia="Times New Roman" w:cstheme="minorHAnsi"/>
          <w:bdr w:val="none" w:sz="0" w:space="0" w:color="auto" w:frame="1"/>
          <w:lang w:eastAsia="en-GB"/>
        </w:rPr>
        <w:t xml:space="preserve"> is </w:t>
      </w:r>
      <w:r w:rsidRPr="006F6E61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>the condition in which all members of society, including its</w:t>
      </w:r>
      <w:r w:rsidR="001003D0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 xml:space="preserve"> </w:t>
      </w:r>
      <w:r w:rsidR="00F717E1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>Government,</w:t>
      </w:r>
      <w:r w:rsidRPr="006F6E61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 xml:space="preserve"> accept the authority of the la</w:t>
      </w:r>
      <w:r w:rsidRPr="006F6E61"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  <w:t>w.] – Oxford Dictionary</w:t>
      </w:r>
    </w:p>
    <w:p w14:paraId="067429DC" w14:textId="77777777" w:rsidR="006F6E61" w:rsidRPr="006F6E61" w:rsidRDefault="006F6E61" w:rsidP="006F6E61">
      <w:pPr>
        <w:shd w:val="clear" w:color="auto" w:fill="FFFFFF"/>
        <w:spacing w:after="0"/>
        <w:textAlignment w:val="baseline"/>
        <w:rPr>
          <w:rFonts w:eastAsia="Times New Roman" w:cstheme="minorHAnsi"/>
          <w:bdr w:val="none" w:sz="0" w:space="0" w:color="auto" w:frame="1"/>
          <w:shd w:val="clear" w:color="auto" w:fill="FFFFFF"/>
          <w:lang w:eastAsia="en-GB"/>
        </w:rPr>
      </w:pPr>
    </w:p>
    <w:p w14:paraId="29736CAF" w14:textId="3E2028F6" w:rsidR="00305E16" w:rsidRDefault="00305E16" w:rsidP="006F6E61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Despite having sound solid legislation namely, 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Education Act 1996, Education Act 2011, Children and Families Act 2014, Children Act 1989, Mental Health Act 1989 [2007], Equality Act 2010, SEND Code of Practice 2014</w:t>
      </w:r>
      <w:r w:rsidRPr="006F6E61">
        <w:rPr>
          <w:rFonts w:asciiTheme="minorHAnsi" w:hAnsiTheme="minorHAnsi" w:cstheme="minorHAnsi"/>
          <w:sz w:val="22"/>
          <w:szCs w:val="22"/>
        </w:rPr>
        <w:t xml:space="preserve">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[2015],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Education and Inspections Act 2006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The Care Act 2014,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Health Principles 1946, including holding various Select Committee Review</w:t>
      </w:r>
      <w:r w:rsidR="00B24EFF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for the purposes of 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legislative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amendments; the Department for Education, Ofsted, Local Authorities, Social Services, Academies, Schools and Professionals, still act negligent or fail to follow legislation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and their Duty of Care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. Why? Who then takes accountability when the above-named, continue to act with ‘Malfeasance, Misfeasance and Nonfeasance’?</w:t>
      </w:r>
    </w:p>
    <w:p w14:paraId="29D6CA06" w14:textId="77777777" w:rsidR="006F6E61" w:rsidRPr="006F6E61" w:rsidRDefault="006F6E61" w:rsidP="006F6E61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</w:p>
    <w:p w14:paraId="5D6D118A" w14:textId="097EC66D" w:rsidR="00305E16" w:rsidRDefault="00305E16" w:rsidP="006F6E61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There is a National SEND Crisis; the elephant is still standing in the room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even though the 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‘’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A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word has left the building</w:t>
      </w:r>
      <w:r w:rsidR="00F717E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 we therefore need to flip the narrative, of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‘We have always done it this way’ </w:t>
      </w:r>
      <w:r w:rsidR="00C8676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to using a more suitable language structure of 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‘We lead with an inclusive holistic collaborative, joint up 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interdepartmental, organizational and institutional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approach</w:t>
      </w:r>
      <w:r w:rsidR="00C8676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</w:t>
      </w:r>
      <w:r w:rsidR="00C8676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which will then insure a change in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cultural behavior </w:t>
      </w:r>
      <w:r w:rsidR="00C8676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by using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positive affirmative accountability language rather than adopting negative </w:t>
      </w:r>
      <w:r w:rsidR="00C8676D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blam</w:t>
      </w:r>
      <w:r w:rsidR="00C8676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ing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 w:rsidR="00C8676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language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.</w:t>
      </w:r>
    </w:p>
    <w:p w14:paraId="1C3BEC86" w14:textId="77777777" w:rsidR="006F6E61" w:rsidRPr="006F6E61" w:rsidRDefault="006F6E61" w:rsidP="006F6E61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</w:p>
    <w:p w14:paraId="02578F28" w14:textId="549D3787" w:rsidR="000B3328" w:rsidRDefault="00305E16" w:rsidP="006F6E61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It is seen as commendable to want to find alternative strategies to bring an end to this 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SEND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crisis, however, simply highlighting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the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scrapping of the much fought for 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and needed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EHC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P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lan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by an unaccountable collective body of trusts, under the Academies Act 2010, means that this 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alternative remedy or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strategy, is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merely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fiscally driven and 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most certainly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not in the best interests of the Child or Young Person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as laid out in the Children and Families Act 2014. Simply shifting the cultural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lastRenderedPageBreak/>
        <w:t>narrative from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‘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it is not working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’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, to 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‘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let’s make it work, through 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whole cost accounting and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accountability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reform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, will ensure that th</w:t>
      </w:r>
      <w:r w:rsidR="009C3457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is SEND c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risis is brought under control. 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There is not even an EHCP template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in situ, 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no wonder it is NOT working. Scrapping a</w:t>
      </w:r>
      <w:r w:rsidR="00025CA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n entire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‘system’ designed to support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the 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SEND Community,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only 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show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s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deliberate </w:t>
      </w:r>
      <w:r w:rsidR="006F6E61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>ignorance</w:t>
      </w:r>
      <w:r w:rsidR="000B3328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 of the law. </w:t>
      </w:r>
    </w:p>
    <w:p w14:paraId="54D34C13" w14:textId="77777777" w:rsidR="006F6E61" w:rsidRPr="006F6E61" w:rsidRDefault="006F6E61" w:rsidP="006F6E61">
      <w:pPr>
        <w:pStyle w:val="Heading1"/>
        <w:spacing w:before="0" w:beforeAutospacing="0" w:after="0" w:afterAutospacing="0" w:line="276" w:lineRule="auto"/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</w:pPr>
    </w:p>
    <w:p w14:paraId="74673232" w14:textId="4277D8D4" w:rsidR="00305E16" w:rsidRDefault="009C3457" w:rsidP="006F6E61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Moreover, had 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  <w:lang w:val="en"/>
        </w:rPr>
        <w:t xml:space="preserve">the Education Select Committee included a thorough and rigorous Cost Benefit and Cost-Effective Analysis Model into their research for the 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Special Educational Needs and Disabilities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</w:rPr>
        <w:t>I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nquiry, 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it would have clearly highlighted the underlying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impact of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financial/funding 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discrepanc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</w:rPr>
        <w:t>ies.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Funding bands, whether ring fenced or not, are based on political frameworks and or time frames by 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the </w:t>
      </w:r>
      <w:r w:rsidR="00305E16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political party who has the parliamentary majority at the time. </w:t>
      </w:r>
    </w:p>
    <w:p w14:paraId="13680863" w14:textId="77777777" w:rsidR="006F6E61" w:rsidRPr="006F6E61" w:rsidRDefault="006F6E61" w:rsidP="006F6E61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975B969" w14:textId="5860247D" w:rsidR="00305E16" w:rsidRDefault="00305E16" w:rsidP="006F6E61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Education and health care should not be subjected to the same political time frame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</w:rPr>
        <w:t>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but rather be 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implemented 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using a generational budget 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[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0-25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]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forecast</w:t>
      </w:r>
      <w:r w:rsidR="00E7646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analysis</w:t>
      </w:r>
      <w:r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with early intervention 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polic</w:t>
      </w:r>
      <w:r w:rsidR="00A46DE7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ies 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as the driver; yet it takes a single </w:t>
      </w:r>
      <w:r w:rsidR="00A46DE7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public </w:t>
      </w:r>
      <w:r w:rsidR="000609D0" w:rsidRPr="006F6E61">
        <w:rPr>
          <w:rFonts w:asciiTheme="minorHAnsi" w:hAnsiTheme="minorHAnsi" w:cstheme="minorHAnsi"/>
          <w:b w:val="0"/>
          <w:bCs w:val="0"/>
          <w:sz w:val="22"/>
          <w:szCs w:val="22"/>
        </w:rPr>
        <w:t>health researcher to ask the Select Committee: “Did you use a Cost Benefit / Cost Effective Analysis Model to determine your findings?” to which came the rather red faced reply, “Ummm, well, no, no one asked for it …”!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(SEND Groups, Organisations, Charities, Think Tanks</w:t>
      </w:r>
      <w:r w:rsidR="009F2A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Lobby Groups, </w:t>
      </w:r>
      <w:r w:rsidR="009F2A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Academics, 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Professionals, </w:t>
      </w:r>
      <w:r w:rsidR="009F2AA6">
        <w:rPr>
          <w:rFonts w:asciiTheme="minorHAnsi" w:hAnsiTheme="minorHAnsi" w:cstheme="minorHAnsi"/>
          <w:b w:val="0"/>
          <w:bCs w:val="0"/>
          <w:sz w:val="22"/>
          <w:szCs w:val="22"/>
        </w:rPr>
        <w:t>Parents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and Individuals, have been asking for accountability </w:t>
      </w:r>
      <w:r w:rsidR="009F2AA6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and cost analysis 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</w:rPr>
        <w:t>fo</w:t>
      </w:r>
      <w:r w:rsidR="009F2AA6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7B218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years.)</w:t>
      </w:r>
    </w:p>
    <w:p w14:paraId="0BDA1B6F" w14:textId="77777777" w:rsidR="006F6E61" w:rsidRPr="006F6E61" w:rsidRDefault="006F6E61" w:rsidP="006F6E61">
      <w:pPr>
        <w:pStyle w:val="Heading1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810B9AF" w14:textId="6A25B9D7" w:rsidR="000609D0" w:rsidRDefault="000609D0" w:rsidP="006F6E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6F6E61">
        <w:rPr>
          <w:rFonts w:asciiTheme="minorHAnsi" w:hAnsiTheme="minorHAnsi" w:cstheme="minorHAnsi"/>
          <w:sz w:val="22"/>
          <w:szCs w:val="22"/>
        </w:rPr>
        <w:t xml:space="preserve">How then, can the latest SEND Review Report be that accurate, if it didn’t even consider the whole impacting </w:t>
      </w:r>
      <w:r w:rsidR="00A46DE7" w:rsidRPr="006F6E61">
        <w:rPr>
          <w:rFonts w:asciiTheme="minorHAnsi" w:hAnsiTheme="minorHAnsi" w:cstheme="minorHAnsi"/>
          <w:sz w:val="22"/>
          <w:szCs w:val="22"/>
        </w:rPr>
        <w:t>long-term</w:t>
      </w:r>
      <w:r w:rsidRPr="006F6E61">
        <w:rPr>
          <w:rFonts w:asciiTheme="minorHAnsi" w:hAnsiTheme="minorHAnsi" w:cstheme="minorHAnsi"/>
          <w:sz w:val="22"/>
          <w:szCs w:val="22"/>
        </w:rPr>
        <w:t xml:space="preserve"> cost? We only need to reflect upon </w:t>
      </w:r>
      <w:r w:rsidR="00A46DE7" w:rsidRPr="006F6E61">
        <w:rPr>
          <w:rFonts w:asciiTheme="minorHAnsi" w:hAnsiTheme="minorHAnsi" w:cstheme="minorHAnsi"/>
          <w:sz w:val="22"/>
          <w:szCs w:val="22"/>
        </w:rPr>
        <w:t xml:space="preserve">the </w:t>
      </w:r>
      <w:r w:rsidRPr="006F6E61">
        <w:rPr>
          <w:rFonts w:asciiTheme="minorHAnsi" w:hAnsiTheme="minorHAnsi" w:cstheme="minorHAnsi"/>
          <w:sz w:val="22"/>
          <w:szCs w:val="22"/>
        </w:rPr>
        <w:t>independent report to the government by Graham Allen MP</w:t>
      </w:r>
      <w:r w:rsidRPr="006F6E61">
        <w:rPr>
          <w:rFonts w:asciiTheme="minorHAnsi" w:hAnsiTheme="minorHAnsi" w:cstheme="minorHAnsi"/>
          <w:sz w:val="22"/>
          <w:szCs w:val="22"/>
        </w:rPr>
        <w:t>, who considered</w:t>
      </w:r>
      <w:r w:rsidR="00E76463">
        <w:rPr>
          <w:rFonts w:asciiTheme="minorHAnsi" w:hAnsiTheme="minorHAnsi" w:cstheme="minorHAnsi"/>
          <w:sz w:val="22"/>
          <w:szCs w:val="22"/>
        </w:rPr>
        <w:t xml:space="preserve">, </w:t>
      </w:r>
      <w:r w:rsidRPr="006F6E61">
        <w:rPr>
          <w:rFonts w:asciiTheme="minorHAnsi" w:hAnsiTheme="minorHAnsi" w:cstheme="minorHAnsi"/>
          <w:sz w:val="22"/>
          <w:szCs w:val="22"/>
        </w:rPr>
        <w:t>how costly and damaging social problems for individuals can be eliminated or reduced</w:t>
      </w:r>
      <w:r w:rsidR="005E6007">
        <w:rPr>
          <w:rFonts w:asciiTheme="minorHAnsi" w:hAnsiTheme="minorHAnsi" w:cstheme="minorHAnsi"/>
          <w:sz w:val="22"/>
          <w:szCs w:val="22"/>
        </w:rPr>
        <w:t xml:space="preserve">, by using early intervention. </w:t>
      </w:r>
      <w:r w:rsidR="00025CA3">
        <w:rPr>
          <w:rFonts w:asciiTheme="minorHAnsi" w:hAnsiTheme="minorHAnsi" w:cstheme="minorHAnsi"/>
          <w:sz w:val="22"/>
          <w:szCs w:val="22"/>
        </w:rPr>
        <w:t xml:space="preserve">The report </w:t>
      </w:r>
      <w:r w:rsidRPr="006F6E61">
        <w:rPr>
          <w:rFonts w:asciiTheme="minorHAnsi" w:hAnsiTheme="minorHAnsi" w:cstheme="minorHAnsi"/>
          <w:sz w:val="22"/>
          <w:szCs w:val="22"/>
        </w:rPr>
        <w:t>examine</w:t>
      </w:r>
      <w:r w:rsidR="00A46DE7" w:rsidRPr="006F6E61">
        <w:rPr>
          <w:rFonts w:asciiTheme="minorHAnsi" w:hAnsiTheme="minorHAnsi" w:cstheme="minorHAnsi"/>
          <w:sz w:val="22"/>
          <w:szCs w:val="22"/>
        </w:rPr>
        <w:t>d</w:t>
      </w:r>
      <w:r w:rsidRPr="006F6E61">
        <w:rPr>
          <w:rFonts w:asciiTheme="minorHAnsi" w:hAnsiTheme="minorHAnsi" w:cstheme="minorHAnsi"/>
          <w:sz w:val="22"/>
          <w:szCs w:val="22"/>
        </w:rPr>
        <w:t xml:space="preserve"> how </w:t>
      </w:r>
      <w:r w:rsidR="00025CA3">
        <w:rPr>
          <w:rFonts w:asciiTheme="minorHAnsi" w:hAnsiTheme="minorHAnsi" w:cstheme="minorHAnsi"/>
          <w:sz w:val="22"/>
          <w:szCs w:val="22"/>
        </w:rPr>
        <w:t xml:space="preserve">it </w:t>
      </w:r>
      <w:r w:rsidRPr="006F6E61">
        <w:rPr>
          <w:rFonts w:asciiTheme="minorHAnsi" w:hAnsiTheme="minorHAnsi" w:cstheme="minorHAnsi"/>
          <w:sz w:val="22"/>
          <w:szCs w:val="22"/>
        </w:rPr>
        <w:t>could be done by giving children and parents the right type of evidence-based programmes, especially in the children’s earliest years.</w:t>
      </w:r>
      <w:r w:rsidR="00A46DE7" w:rsidRPr="006F6E61">
        <w:rPr>
          <w:rFonts w:asciiTheme="minorHAnsi" w:hAnsiTheme="minorHAnsi" w:cstheme="minorHAnsi"/>
          <w:sz w:val="22"/>
          <w:szCs w:val="22"/>
        </w:rPr>
        <w:t xml:space="preserve">  </w:t>
      </w:r>
      <w:r w:rsidRPr="000609D0">
        <w:rPr>
          <w:rFonts w:asciiTheme="minorHAnsi" w:hAnsiTheme="minorHAnsi" w:cstheme="minorHAnsi"/>
          <w:sz w:val="22"/>
          <w:szCs w:val="22"/>
        </w:rPr>
        <w:t>A second report by Graham Allen MP</w:t>
      </w:r>
      <w:r w:rsidR="00025CA3">
        <w:rPr>
          <w:rFonts w:asciiTheme="minorHAnsi" w:hAnsiTheme="minorHAnsi" w:cstheme="minorHAnsi"/>
          <w:sz w:val="22"/>
          <w:szCs w:val="22"/>
        </w:rPr>
        <w:t xml:space="preserve">, </w:t>
      </w:r>
      <w:r w:rsidRPr="000609D0">
        <w:rPr>
          <w:rFonts w:asciiTheme="minorHAnsi" w:hAnsiTheme="minorHAnsi" w:cstheme="minorHAnsi"/>
          <w:sz w:val="22"/>
          <w:szCs w:val="22"/>
        </w:rPr>
        <w:t xml:space="preserve">set out how </w:t>
      </w:r>
      <w:r w:rsidR="00A46DE7" w:rsidRPr="006F6E61">
        <w:rPr>
          <w:rFonts w:asciiTheme="minorHAnsi" w:hAnsiTheme="minorHAnsi" w:cstheme="minorHAnsi"/>
          <w:sz w:val="22"/>
          <w:szCs w:val="22"/>
        </w:rPr>
        <w:t>‘</w:t>
      </w:r>
      <w:r w:rsidRPr="000609D0">
        <w:rPr>
          <w:rFonts w:asciiTheme="minorHAnsi" w:hAnsiTheme="minorHAnsi" w:cstheme="minorHAnsi"/>
          <w:sz w:val="22"/>
          <w:szCs w:val="22"/>
        </w:rPr>
        <w:t>we</w:t>
      </w:r>
      <w:r w:rsidR="00A46DE7" w:rsidRPr="006F6E61">
        <w:rPr>
          <w:rFonts w:asciiTheme="minorHAnsi" w:hAnsiTheme="minorHAnsi" w:cstheme="minorHAnsi"/>
          <w:sz w:val="22"/>
          <w:szCs w:val="22"/>
        </w:rPr>
        <w:t>’</w:t>
      </w:r>
      <w:r w:rsidRPr="000609D0">
        <w:rPr>
          <w:rFonts w:asciiTheme="minorHAnsi" w:hAnsiTheme="minorHAnsi" w:cstheme="minorHAnsi"/>
          <w:sz w:val="22"/>
          <w:szCs w:val="22"/>
        </w:rPr>
        <w:t xml:space="preserve"> can pay for those programmes within existing resources and by attracting new funding outside government – </w:t>
      </w:r>
      <w:r w:rsidR="00A46DE7" w:rsidRPr="006F6E61">
        <w:rPr>
          <w:rFonts w:asciiTheme="minorHAnsi" w:hAnsiTheme="minorHAnsi" w:cstheme="minorHAnsi"/>
          <w:sz w:val="22"/>
          <w:szCs w:val="22"/>
        </w:rPr>
        <w:t>‘</w:t>
      </w:r>
      <w:r w:rsidRPr="000609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Early intervention</w:t>
      </w:r>
      <w:r w:rsidR="00025CA3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, equals </w:t>
      </w:r>
      <w:r w:rsidRPr="000609D0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smart investment, massive savings</w:t>
      </w:r>
      <w:r w:rsidRPr="000609D0">
        <w:rPr>
          <w:rFonts w:asciiTheme="minorHAnsi" w:hAnsiTheme="minorHAnsi" w:cstheme="minorHAnsi"/>
          <w:sz w:val="22"/>
          <w:szCs w:val="22"/>
        </w:rPr>
        <w:t>.</w:t>
      </w:r>
      <w:r w:rsidR="00A46DE7" w:rsidRPr="006F6E61">
        <w:rPr>
          <w:rFonts w:asciiTheme="minorHAnsi" w:hAnsiTheme="minorHAnsi" w:cstheme="minorHAnsi"/>
          <w:sz w:val="22"/>
          <w:szCs w:val="22"/>
        </w:rPr>
        <w:t>’</w:t>
      </w:r>
      <w:r w:rsidR="00F50D32">
        <w:rPr>
          <w:rFonts w:asciiTheme="minorHAnsi" w:hAnsiTheme="minorHAnsi" w:cstheme="minorHAnsi"/>
          <w:sz w:val="22"/>
          <w:szCs w:val="22"/>
        </w:rPr>
        <w:t xml:space="preserve"> Has the Government </w:t>
      </w:r>
      <w:r w:rsidR="00E76463">
        <w:rPr>
          <w:rFonts w:asciiTheme="minorHAnsi" w:hAnsiTheme="minorHAnsi" w:cstheme="minorHAnsi"/>
          <w:sz w:val="22"/>
          <w:szCs w:val="22"/>
        </w:rPr>
        <w:t>not l</w:t>
      </w:r>
      <w:r w:rsidR="00F50D32">
        <w:rPr>
          <w:rFonts w:asciiTheme="minorHAnsi" w:hAnsiTheme="minorHAnsi" w:cstheme="minorHAnsi"/>
          <w:sz w:val="22"/>
          <w:szCs w:val="22"/>
        </w:rPr>
        <w:t xml:space="preserve">earnt from this very report? </w:t>
      </w:r>
    </w:p>
    <w:p w14:paraId="4AC78550" w14:textId="77777777" w:rsidR="006F6E61" w:rsidRPr="000609D0" w:rsidRDefault="006F6E61" w:rsidP="006F6E61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</w:p>
    <w:p w14:paraId="5108FCA8" w14:textId="5D7BA168" w:rsidR="00DC1E55" w:rsidRDefault="00DC1E55" w:rsidP="006F6E61">
      <w:pPr>
        <w:shd w:val="clear" w:color="auto" w:fill="FFFFFF" w:themeFill="background1"/>
        <w:spacing w:after="0"/>
        <w:textAlignment w:val="baseline"/>
        <w:rPr>
          <w:rFonts w:eastAsia="Times New Roman" w:cstheme="minorHAnsi"/>
          <w:lang w:eastAsia="en-GB"/>
        </w:rPr>
      </w:pPr>
      <w:r w:rsidRPr="006F6E61">
        <w:rPr>
          <w:rFonts w:eastAsia="Times New Roman" w:cstheme="minorHAnsi"/>
          <w:lang w:eastAsia="en-GB"/>
        </w:rPr>
        <w:t>We only need to be reminded that the Government</w:t>
      </w:r>
      <w:r w:rsidR="00E76463">
        <w:rPr>
          <w:rFonts w:eastAsia="Times New Roman" w:cstheme="minorHAnsi"/>
          <w:lang w:eastAsia="en-GB"/>
        </w:rPr>
        <w:t>’s</w:t>
      </w:r>
      <w:r w:rsidRPr="006F6E61">
        <w:rPr>
          <w:rFonts w:eastAsia="Times New Roman" w:cstheme="minorHAnsi"/>
          <w:lang w:eastAsia="en-GB"/>
        </w:rPr>
        <w:t xml:space="preserve"> first duty is to ensure all of its citizens are safe from harm, </w:t>
      </w:r>
      <w:r w:rsidRPr="006F6E61">
        <w:rPr>
          <w:rFonts w:cstheme="minorHAnsi"/>
          <w:i/>
          <w:shd w:val="clear" w:color="auto" w:fill="FFFFFF"/>
        </w:rPr>
        <w:t>Primum non nocere</w:t>
      </w:r>
      <w:r w:rsidRPr="006F6E61">
        <w:rPr>
          <w:rFonts w:eastAsia="Times New Roman" w:cstheme="minorHAnsi"/>
          <w:lang w:eastAsia="en-GB"/>
        </w:rPr>
        <w:t xml:space="preserve">, and if the Government is causing undue / avoidable harm, by virtue of not implementing the </w:t>
      </w:r>
      <w:r w:rsidR="00E76463">
        <w:rPr>
          <w:rFonts w:eastAsia="Times New Roman" w:cstheme="minorHAnsi"/>
          <w:lang w:eastAsia="en-GB"/>
        </w:rPr>
        <w:t>H</w:t>
      </w:r>
      <w:r w:rsidRPr="006F6E61">
        <w:rPr>
          <w:rFonts w:eastAsia="Times New Roman" w:cstheme="minorHAnsi"/>
          <w:lang w:eastAsia="en-GB"/>
        </w:rPr>
        <w:t xml:space="preserve">ealth </w:t>
      </w:r>
      <w:r w:rsidR="00E76463">
        <w:rPr>
          <w:rFonts w:eastAsia="Times New Roman" w:cstheme="minorHAnsi"/>
          <w:lang w:eastAsia="en-GB"/>
        </w:rPr>
        <w:t>P</w:t>
      </w:r>
      <w:r w:rsidRPr="006F6E61">
        <w:rPr>
          <w:rFonts w:eastAsia="Times New Roman" w:cstheme="minorHAnsi"/>
          <w:lang w:eastAsia="en-GB"/>
        </w:rPr>
        <w:t>rinciples</w:t>
      </w:r>
      <w:r w:rsidR="00E76463">
        <w:rPr>
          <w:rFonts w:eastAsia="Times New Roman" w:cstheme="minorHAnsi"/>
          <w:lang w:eastAsia="en-GB"/>
        </w:rPr>
        <w:t xml:space="preserve"> ]1946]</w:t>
      </w:r>
      <w:r w:rsidRPr="006F6E61">
        <w:rPr>
          <w:rFonts w:eastAsia="Times New Roman" w:cstheme="minorHAnsi"/>
          <w:lang w:eastAsia="en-GB"/>
        </w:rPr>
        <w:t xml:space="preserve">, then why is </w:t>
      </w:r>
      <w:r w:rsidR="00E76463">
        <w:rPr>
          <w:rFonts w:eastAsia="Times New Roman" w:cstheme="minorHAnsi"/>
          <w:lang w:eastAsia="en-GB"/>
        </w:rPr>
        <w:t>[</w:t>
      </w:r>
      <w:r w:rsidRPr="006F6E61">
        <w:rPr>
          <w:rFonts w:eastAsia="Times New Roman" w:cstheme="minorHAnsi"/>
          <w:lang w:eastAsia="en-GB"/>
        </w:rPr>
        <w:t>it</w:t>
      </w:r>
      <w:r w:rsidR="00E76463">
        <w:rPr>
          <w:rFonts w:eastAsia="Times New Roman" w:cstheme="minorHAnsi"/>
          <w:lang w:eastAsia="en-GB"/>
        </w:rPr>
        <w:t>]</w:t>
      </w:r>
      <w:r w:rsidRPr="006F6E61">
        <w:rPr>
          <w:rFonts w:eastAsia="Times New Roman" w:cstheme="minorHAnsi"/>
          <w:lang w:eastAsia="en-GB"/>
        </w:rPr>
        <w:t xml:space="preserve"> not held to account, especially when </w:t>
      </w:r>
      <w:r w:rsidR="00E76463">
        <w:rPr>
          <w:rFonts w:eastAsia="Times New Roman" w:cstheme="minorHAnsi"/>
          <w:lang w:eastAsia="en-GB"/>
        </w:rPr>
        <w:t>[</w:t>
      </w:r>
      <w:r w:rsidRPr="006F6E61">
        <w:rPr>
          <w:rFonts w:eastAsia="Times New Roman" w:cstheme="minorHAnsi"/>
          <w:lang w:eastAsia="en-GB"/>
        </w:rPr>
        <w:t>it</w:t>
      </w:r>
      <w:r w:rsidR="00E76463">
        <w:rPr>
          <w:rFonts w:eastAsia="Times New Roman" w:cstheme="minorHAnsi"/>
          <w:lang w:eastAsia="en-GB"/>
        </w:rPr>
        <w:t>]</w:t>
      </w:r>
      <w:r w:rsidRPr="006F6E61">
        <w:rPr>
          <w:rFonts w:eastAsia="Times New Roman" w:cstheme="minorHAnsi"/>
          <w:lang w:eastAsia="en-GB"/>
        </w:rPr>
        <w:t xml:space="preserve"> continuously allows its citizens, in this case, </w:t>
      </w:r>
      <w:r w:rsidR="00E76463">
        <w:rPr>
          <w:rFonts w:eastAsia="Times New Roman" w:cstheme="minorHAnsi"/>
          <w:lang w:eastAsia="en-GB"/>
        </w:rPr>
        <w:t xml:space="preserve">SEND </w:t>
      </w:r>
      <w:r w:rsidRPr="006F6E61">
        <w:rPr>
          <w:rFonts w:eastAsia="Times New Roman" w:cstheme="minorHAnsi"/>
          <w:lang w:eastAsia="en-GB"/>
        </w:rPr>
        <w:t xml:space="preserve">children </w:t>
      </w:r>
      <w:r w:rsidR="00E76463">
        <w:rPr>
          <w:rFonts w:eastAsia="Times New Roman" w:cstheme="minorHAnsi"/>
          <w:lang w:eastAsia="en-GB"/>
        </w:rPr>
        <w:t xml:space="preserve">and Young People </w:t>
      </w:r>
      <w:r w:rsidRPr="006F6E61">
        <w:rPr>
          <w:rFonts w:eastAsia="Times New Roman" w:cstheme="minorHAnsi"/>
          <w:lang w:eastAsia="en-GB"/>
        </w:rPr>
        <w:t>to suffer routinely at the hands of those in senior decision making positions?</w:t>
      </w:r>
    </w:p>
    <w:p w14:paraId="63E84289" w14:textId="77777777" w:rsidR="006F6E61" w:rsidRPr="006F6E61" w:rsidRDefault="006F6E61" w:rsidP="006F6E61">
      <w:pPr>
        <w:shd w:val="clear" w:color="auto" w:fill="FFFFFF" w:themeFill="background1"/>
        <w:spacing w:after="0"/>
        <w:textAlignment w:val="baseline"/>
        <w:rPr>
          <w:rFonts w:eastAsia="Times New Roman" w:cstheme="minorHAnsi"/>
          <w:lang w:eastAsia="en-GB"/>
        </w:rPr>
      </w:pPr>
    </w:p>
    <w:p w14:paraId="78496A2D" w14:textId="35DDB54C" w:rsidR="00880127" w:rsidRDefault="00341634" w:rsidP="006F6E61">
      <w:pPr>
        <w:shd w:val="clear" w:color="auto" w:fill="FFFFFF" w:themeFill="background1"/>
        <w:spacing w:after="0"/>
        <w:textAlignment w:val="baseline"/>
        <w:rPr>
          <w:rFonts w:cstheme="minorHAnsi"/>
          <w:color w:val="000000"/>
          <w:shd w:val="clear" w:color="auto" w:fill="FFFFFF"/>
        </w:rPr>
      </w:pPr>
      <w:r w:rsidRPr="006F6E61">
        <w:rPr>
          <w:rFonts w:eastAsia="Times New Roman" w:cstheme="minorHAnsi"/>
          <w:lang w:eastAsia="en-GB"/>
        </w:rPr>
        <w:t>The departments</w:t>
      </w:r>
      <w:r w:rsidR="009C3457" w:rsidRPr="006F6E61">
        <w:rPr>
          <w:rFonts w:eastAsia="Times New Roman" w:cstheme="minorHAnsi"/>
          <w:lang w:eastAsia="en-GB"/>
        </w:rPr>
        <w:t xml:space="preserve">, organisations, professionals, stakeholders </w:t>
      </w:r>
      <w:r w:rsidRPr="006F6E61">
        <w:rPr>
          <w:rFonts w:eastAsia="Times New Roman" w:cstheme="minorHAnsi"/>
          <w:lang w:eastAsia="en-GB"/>
        </w:rPr>
        <w:t xml:space="preserve">and </w:t>
      </w:r>
      <w:r w:rsidR="009C3457" w:rsidRPr="006F6E61">
        <w:rPr>
          <w:rFonts w:eastAsia="Times New Roman" w:cstheme="minorHAnsi"/>
          <w:lang w:eastAsia="en-GB"/>
        </w:rPr>
        <w:t>individuals</w:t>
      </w:r>
      <w:r w:rsidRPr="006F6E61">
        <w:rPr>
          <w:rFonts w:eastAsia="Times New Roman" w:cstheme="minorHAnsi"/>
          <w:lang w:eastAsia="en-GB"/>
        </w:rPr>
        <w:t xml:space="preserve"> </w:t>
      </w:r>
      <w:r w:rsidR="009C3457" w:rsidRPr="006F6E61">
        <w:rPr>
          <w:rFonts w:eastAsia="Times New Roman" w:cstheme="minorHAnsi"/>
          <w:lang w:eastAsia="en-GB"/>
        </w:rPr>
        <w:t>mentioned here</w:t>
      </w:r>
      <w:r w:rsidR="00E76463">
        <w:rPr>
          <w:rFonts w:eastAsia="Times New Roman" w:cstheme="minorHAnsi"/>
          <w:lang w:eastAsia="en-GB"/>
        </w:rPr>
        <w:t>in</w:t>
      </w:r>
      <w:r w:rsidR="009C3457" w:rsidRPr="006F6E61">
        <w:rPr>
          <w:rFonts w:eastAsia="Times New Roman" w:cstheme="minorHAnsi"/>
          <w:lang w:eastAsia="en-GB"/>
        </w:rPr>
        <w:t xml:space="preserve">, </w:t>
      </w:r>
      <w:r w:rsidRPr="006F6E61">
        <w:rPr>
          <w:rFonts w:eastAsia="Times New Roman" w:cstheme="minorHAnsi"/>
          <w:lang w:eastAsia="en-GB"/>
        </w:rPr>
        <w:t xml:space="preserve">would </w:t>
      </w:r>
      <w:r w:rsidR="00E76463">
        <w:rPr>
          <w:rFonts w:eastAsia="Times New Roman" w:cstheme="minorHAnsi"/>
          <w:lang w:eastAsia="en-GB"/>
        </w:rPr>
        <w:t xml:space="preserve">not only </w:t>
      </w:r>
      <w:r w:rsidRPr="006F6E61">
        <w:rPr>
          <w:rFonts w:eastAsia="Times New Roman" w:cstheme="minorHAnsi"/>
          <w:lang w:eastAsia="en-GB"/>
        </w:rPr>
        <w:t xml:space="preserve">have to apply Cost Benefit and Cost Effective </w:t>
      </w:r>
      <w:r w:rsidR="00A07C05" w:rsidRPr="006F6E61">
        <w:rPr>
          <w:rFonts w:eastAsia="Times New Roman" w:cstheme="minorHAnsi"/>
          <w:lang w:eastAsia="en-GB"/>
        </w:rPr>
        <w:t>Analysis Models to safeguard human lives</w:t>
      </w:r>
      <w:r w:rsidR="00E76463">
        <w:rPr>
          <w:rFonts w:eastAsia="Times New Roman" w:cstheme="minorHAnsi"/>
          <w:lang w:eastAsia="en-GB"/>
        </w:rPr>
        <w:t xml:space="preserve">, </w:t>
      </w:r>
      <w:r w:rsidR="00A07C05" w:rsidRPr="006F6E61">
        <w:rPr>
          <w:rFonts w:eastAsia="Times New Roman" w:cstheme="minorHAnsi"/>
          <w:lang w:eastAsia="en-GB"/>
        </w:rPr>
        <w:t xml:space="preserve">but </w:t>
      </w:r>
      <w:r w:rsidR="006F6E61" w:rsidRPr="006F6E61">
        <w:rPr>
          <w:rFonts w:eastAsia="Times New Roman" w:cstheme="minorHAnsi"/>
          <w:lang w:eastAsia="en-GB"/>
        </w:rPr>
        <w:t>they</w:t>
      </w:r>
      <w:r w:rsidR="00A07C05" w:rsidRPr="006F6E61">
        <w:rPr>
          <w:rFonts w:eastAsia="Times New Roman" w:cstheme="minorHAnsi"/>
          <w:lang w:eastAsia="en-GB"/>
        </w:rPr>
        <w:t xml:space="preserve"> would also need to take on board a new continual professional development pathway in behavioural science</w:t>
      </w:r>
      <w:r w:rsidR="00A733E4">
        <w:rPr>
          <w:rFonts w:eastAsia="Times New Roman" w:cstheme="minorHAnsi"/>
          <w:lang w:eastAsia="en-GB"/>
        </w:rPr>
        <w:t xml:space="preserve">, </w:t>
      </w:r>
      <w:r w:rsidR="00A07C05" w:rsidRPr="006F6E61">
        <w:rPr>
          <w:rFonts w:eastAsia="Times New Roman" w:cstheme="minorHAnsi"/>
          <w:lang w:eastAsia="en-GB"/>
        </w:rPr>
        <w:t xml:space="preserve">with the </w:t>
      </w:r>
      <w:r w:rsidR="00A07C05" w:rsidRPr="006F6E61">
        <w:rPr>
          <w:rFonts w:cstheme="minorHAnsi"/>
          <w:color w:val="000000"/>
          <w:shd w:val="clear" w:color="auto" w:fill="FFFFFF"/>
        </w:rPr>
        <w:t xml:space="preserve">aim to help policy makers develop strategies to improve the </w:t>
      </w:r>
      <w:r w:rsidR="00880127" w:rsidRPr="006F6E61">
        <w:rPr>
          <w:rFonts w:cstheme="minorHAnsi"/>
          <w:color w:val="000000"/>
          <w:shd w:val="clear" w:color="auto" w:fill="FFFFFF"/>
        </w:rPr>
        <w:t>overall health</w:t>
      </w:r>
      <w:r w:rsidR="00A07C05" w:rsidRPr="006F6E61">
        <w:rPr>
          <w:rFonts w:cstheme="minorHAnsi"/>
          <w:color w:val="000000"/>
          <w:shd w:val="clear" w:color="auto" w:fill="FFFFFF"/>
        </w:rPr>
        <w:t xml:space="preserve"> and educational </w:t>
      </w:r>
      <w:r w:rsidR="00A07C05" w:rsidRPr="006F6E61">
        <w:rPr>
          <w:rFonts w:cstheme="minorHAnsi"/>
          <w:color w:val="000000"/>
          <w:shd w:val="clear" w:color="auto" w:fill="FFFFFF"/>
        </w:rPr>
        <w:t xml:space="preserve">wellbeing of </w:t>
      </w:r>
      <w:r w:rsidR="00A733E4">
        <w:rPr>
          <w:rFonts w:cstheme="minorHAnsi"/>
          <w:color w:val="000000"/>
          <w:shd w:val="clear" w:color="auto" w:fill="FFFFFF"/>
        </w:rPr>
        <w:t xml:space="preserve">ALL </w:t>
      </w:r>
      <w:r w:rsidR="00A07C05" w:rsidRPr="006F6E61">
        <w:rPr>
          <w:rFonts w:cstheme="minorHAnsi"/>
          <w:color w:val="000000"/>
          <w:shd w:val="clear" w:color="auto" w:fill="FFFFFF"/>
        </w:rPr>
        <w:t xml:space="preserve">SEND </w:t>
      </w:r>
      <w:r w:rsidR="00A07C05" w:rsidRPr="006F6E61">
        <w:rPr>
          <w:rFonts w:cstheme="minorHAnsi"/>
          <w:color w:val="000000"/>
          <w:shd w:val="clear" w:color="auto" w:fill="FFFFFF"/>
        </w:rPr>
        <w:t>individuals throughout the UK</w:t>
      </w:r>
      <w:r w:rsidR="00A733E4">
        <w:rPr>
          <w:rFonts w:cstheme="minorHAnsi"/>
          <w:color w:val="000000"/>
          <w:shd w:val="clear" w:color="auto" w:fill="FFFFFF"/>
        </w:rPr>
        <w:t xml:space="preserve">, so as to mange the public purse with appropriation. </w:t>
      </w:r>
    </w:p>
    <w:p w14:paraId="12CBC0D4" w14:textId="77777777" w:rsidR="006F6E61" w:rsidRPr="006F6E61" w:rsidRDefault="006F6E61" w:rsidP="006F6E61">
      <w:pPr>
        <w:shd w:val="clear" w:color="auto" w:fill="FFFFFF" w:themeFill="background1"/>
        <w:spacing w:after="0"/>
        <w:textAlignment w:val="baseline"/>
        <w:rPr>
          <w:rFonts w:cstheme="minorHAnsi"/>
          <w:color w:val="000000"/>
          <w:shd w:val="clear" w:color="auto" w:fill="FFFFFF"/>
        </w:rPr>
      </w:pPr>
    </w:p>
    <w:p w14:paraId="7D6629E7" w14:textId="37A0FF12" w:rsidR="00341634" w:rsidRDefault="00A07C05" w:rsidP="006F6E61">
      <w:pPr>
        <w:shd w:val="clear" w:color="auto" w:fill="FFFFFF" w:themeFill="background1"/>
        <w:spacing w:after="0"/>
        <w:textAlignment w:val="baseline"/>
        <w:rPr>
          <w:rFonts w:cstheme="minorHAnsi"/>
          <w:color w:val="000000"/>
          <w:shd w:val="clear" w:color="auto" w:fill="FFFFFF"/>
        </w:rPr>
      </w:pPr>
      <w:r w:rsidRPr="006F6E61">
        <w:rPr>
          <w:rFonts w:cstheme="minorHAnsi"/>
          <w:color w:val="000000"/>
          <w:shd w:val="clear" w:color="auto" w:fill="FFFFFF"/>
        </w:rPr>
        <w:t xml:space="preserve">The LSE states: </w:t>
      </w:r>
      <w:r w:rsidR="00A733E4">
        <w:rPr>
          <w:rFonts w:cstheme="minorHAnsi"/>
          <w:color w:val="000000"/>
          <w:shd w:val="clear" w:color="auto" w:fill="FFFFFF"/>
        </w:rPr>
        <w:t>“</w:t>
      </w:r>
      <w:r w:rsidRPr="006F6E61">
        <w:rPr>
          <w:rFonts w:cstheme="minorHAnsi"/>
          <w:color w:val="000000"/>
          <w:shd w:val="clear" w:color="auto" w:fill="FFFFFF"/>
        </w:rPr>
        <w:t>Behavioural Science,</w:t>
      </w:r>
      <w:r w:rsidRPr="006F6E61">
        <w:rPr>
          <w:rFonts w:cstheme="minorHAnsi"/>
          <w:color w:val="000000"/>
          <w:shd w:val="clear" w:color="auto" w:fill="FFFFFF"/>
        </w:rPr>
        <w:t xml:space="preserve"> is </w:t>
      </w:r>
      <w:r w:rsidRPr="006F6E61">
        <w:rPr>
          <w:rFonts w:cstheme="minorHAnsi"/>
          <w:color w:val="000000"/>
          <w:shd w:val="clear" w:color="auto" w:fill="FFFFFF"/>
        </w:rPr>
        <w:t xml:space="preserve">a comprehensive toolset to analyse </w:t>
      </w:r>
      <w:r w:rsidRPr="006F6E61">
        <w:rPr>
          <w:rFonts w:cstheme="minorHAnsi"/>
          <w:color w:val="000000"/>
          <w:shd w:val="clear" w:color="auto" w:fill="FFFFFF"/>
        </w:rPr>
        <w:t xml:space="preserve">human </w:t>
      </w:r>
      <w:r w:rsidRPr="006F6E61">
        <w:rPr>
          <w:rFonts w:cstheme="minorHAnsi"/>
          <w:color w:val="000000"/>
          <w:shd w:val="clear" w:color="auto" w:fill="FFFFFF"/>
        </w:rPr>
        <w:t>irrationality</w:t>
      </w:r>
      <w:r w:rsidRPr="006F6E61">
        <w:rPr>
          <w:rFonts w:cstheme="minorHAnsi"/>
          <w:color w:val="000000"/>
          <w:shd w:val="clear" w:color="auto" w:fill="FFFFFF"/>
        </w:rPr>
        <w:t>, a</w:t>
      </w:r>
      <w:r w:rsidRPr="006F6E61">
        <w:rPr>
          <w:rFonts w:cstheme="minorHAnsi"/>
          <w:color w:val="000000"/>
          <w:shd w:val="clear" w:color="auto" w:fill="FFFFFF"/>
        </w:rPr>
        <w:t xml:space="preserve"> comprehensive, if not complete, toolset allowing </w:t>
      </w:r>
      <w:r w:rsidRPr="006F6E61">
        <w:rPr>
          <w:rFonts w:cstheme="minorHAnsi"/>
          <w:color w:val="000000"/>
          <w:shd w:val="clear" w:color="auto" w:fill="FFFFFF"/>
        </w:rPr>
        <w:t>scientist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s </w:t>
      </w:r>
      <w:r w:rsidRPr="006F6E61">
        <w:rPr>
          <w:rFonts w:cstheme="minorHAnsi"/>
          <w:color w:val="000000"/>
          <w:shd w:val="clear" w:color="auto" w:fill="FFFFFF"/>
        </w:rPr>
        <w:t xml:space="preserve">to understand why </w:t>
      </w:r>
      <w:r w:rsidRPr="006F6E61">
        <w:rPr>
          <w:rFonts w:cstheme="minorHAnsi"/>
          <w:color w:val="000000"/>
          <w:shd w:val="clear" w:color="auto" w:fill="FFFFFF"/>
        </w:rPr>
        <w:t xml:space="preserve">humans </w:t>
      </w:r>
      <w:r w:rsidRPr="006F6E61">
        <w:rPr>
          <w:rFonts w:cstheme="minorHAnsi"/>
          <w:color w:val="000000"/>
          <w:shd w:val="clear" w:color="auto" w:fill="FFFFFF"/>
        </w:rPr>
        <w:t xml:space="preserve">behave the way </w:t>
      </w:r>
      <w:r w:rsidRPr="006F6E61">
        <w:rPr>
          <w:rFonts w:cstheme="minorHAnsi"/>
          <w:color w:val="000000"/>
          <w:shd w:val="clear" w:color="auto" w:fill="FFFFFF"/>
        </w:rPr>
        <w:t xml:space="preserve">they </w:t>
      </w:r>
      <w:r w:rsidRPr="006F6E61">
        <w:rPr>
          <w:rFonts w:cstheme="minorHAnsi"/>
          <w:color w:val="000000"/>
          <w:shd w:val="clear" w:color="auto" w:fill="FFFFFF"/>
        </w:rPr>
        <w:t xml:space="preserve">behave and make decisions </w:t>
      </w:r>
      <w:r w:rsidRPr="006F6E61">
        <w:rPr>
          <w:rFonts w:cstheme="minorHAnsi"/>
          <w:color w:val="000000"/>
          <w:shd w:val="clear" w:color="auto" w:fill="FFFFFF"/>
        </w:rPr>
        <w:t xml:space="preserve">they </w:t>
      </w:r>
      <w:r w:rsidRPr="006F6E61">
        <w:rPr>
          <w:rFonts w:cstheme="minorHAnsi"/>
          <w:color w:val="000000"/>
          <w:shd w:val="clear" w:color="auto" w:fill="FFFFFF"/>
        </w:rPr>
        <w:t>make. It is also a facilitator for making better decisions which is equally valuable.”</w:t>
      </w:r>
      <w:r w:rsidRPr="006F6E61">
        <w:rPr>
          <w:rFonts w:cstheme="minorHAnsi"/>
          <w:color w:val="000000"/>
          <w:shd w:val="clear" w:color="auto" w:fill="FFFFFF"/>
        </w:rPr>
        <w:t xml:space="preserve"> 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For the purposes of </w:t>
      </w:r>
      <w:r w:rsidRPr="006F6E61">
        <w:rPr>
          <w:rFonts w:cstheme="minorHAnsi"/>
          <w:color w:val="000000"/>
          <w:shd w:val="clear" w:color="auto" w:fill="FFFFFF"/>
        </w:rPr>
        <w:t>t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his article, the author refers to those </w:t>
      </w:r>
      <w:r w:rsidRPr="006F6E61">
        <w:rPr>
          <w:rFonts w:cstheme="minorHAnsi"/>
          <w:color w:val="000000"/>
          <w:shd w:val="clear" w:color="auto" w:fill="FFFFFF"/>
        </w:rPr>
        <w:t>humans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, that are the </w:t>
      </w:r>
      <w:r w:rsidRPr="006F6E61">
        <w:rPr>
          <w:rFonts w:cstheme="minorHAnsi"/>
          <w:color w:val="000000"/>
          <w:shd w:val="clear" w:color="auto" w:fill="FFFFFF"/>
        </w:rPr>
        <w:t xml:space="preserve">decisions makers 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within The </w:t>
      </w:r>
      <w:r w:rsidRPr="006F6E61">
        <w:rPr>
          <w:rFonts w:cstheme="minorHAnsi"/>
          <w:color w:val="000000"/>
          <w:shd w:val="clear" w:color="auto" w:fill="FFFFFF"/>
        </w:rPr>
        <w:t xml:space="preserve">Department for Education, 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Ofsted, </w:t>
      </w:r>
      <w:r w:rsidRPr="006F6E61">
        <w:rPr>
          <w:rFonts w:cstheme="minorHAnsi"/>
          <w:color w:val="000000"/>
          <w:shd w:val="clear" w:color="auto" w:fill="FFFFFF"/>
        </w:rPr>
        <w:t xml:space="preserve">Local Authorities, </w:t>
      </w:r>
      <w:r w:rsidR="00880127" w:rsidRPr="006F6E61">
        <w:rPr>
          <w:rFonts w:cstheme="minorHAnsi"/>
          <w:color w:val="000000"/>
          <w:shd w:val="clear" w:color="auto" w:fill="FFFFFF"/>
        </w:rPr>
        <w:t>Academies</w:t>
      </w:r>
      <w:r w:rsidRPr="006F6E61">
        <w:rPr>
          <w:rFonts w:cstheme="minorHAnsi"/>
          <w:color w:val="000000"/>
          <w:shd w:val="clear" w:color="auto" w:fill="FFFFFF"/>
        </w:rPr>
        <w:t>, Schools and CCG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/NHS </w:t>
      </w:r>
      <w:r w:rsidRPr="006F6E61">
        <w:rPr>
          <w:rFonts w:cstheme="minorHAnsi"/>
          <w:color w:val="000000"/>
          <w:shd w:val="clear" w:color="auto" w:fill="FFFFFF"/>
        </w:rPr>
        <w:t>Professionals, who continually block</w:t>
      </w:r>
      <w:r w:rsidR="00A733E4">
        <w:rPr>
          <w:rFonts w:cstheme="minorHAnsi"/>
          <w:color w:val="000000"/>
          <w:shd w:val="clear" w:color="auto" w:fill="FFFFFF"/>
        </w:rPr>
        <w:t xml:space="preserve"> provision and support</w:t>
      </w:r>
      <w:r w:rsidRPr="006F6E61">
        <w:rPr>
          <w:rFonts w:cstheme="minorHAnsi"/>
          <w:color w:val="000000"/>
          <w:shd w:val="clear" w:color="auto" w:fill="FFFFFF"/>
        </w:rPr>
        <w:t xml:space="preserve">, falsify, </w:t>
      </w:r>
      <w:r w:rsidR="00A733E4">
        <w:rPr>
          <w:rFonts w:cstheme="minorHAnsi"/>
          <w:color w:val="000000"/>
          <w:shd w:val="clear" w:color="auto" w:fill="FFFFFF"/>
        </w:rPr>
        <w:lastRenderedPageBreak/>
        <w:t xml:space="preserve">reports, 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act without regard to legislative due process and or who simply push </w:t>
      </w:r>
      <w:r w:rsidR="00A733E4">
        <w:rPr>
          <w:rFonts w:cstheme="minorHAnsi"/>
          <w:color w:val="000000"/>
          <w:shd w:val="clear" w:color="auto" w:fill="FFFFFF"/>
        </w:rPr>
        <w:t xml:space="preserve">beyond their professional </w:t>
      </w:r>
      <w:r w:rsidR="00880127" w:rsidRPr="006F6E61">
        <w:rPr>
          <w:rFonts w:cstheme="minorHAnsi"/>
          <w:color w:val="000000"/>
          <w:shd w:val="clear" w:color="auto" w:fill="FFFFFF"/>
        </w:rPr>
        <w:t xml:space="preserve">remit. </w:t>
      </w:r>
    </w:p>
    <w:p w14:paraId="06072676" w14:textId="77777777" w:rsidR="006F6E61" w:rsidRPr="006F6E61" w:rsidRDefault="006F6E61" w:rsidP="006F6E61">
      <w:pPr>
        <w:shd w:val="clear" w:color="auto" w:fill="FFFFFF" w:themeFill="background1"/>
        <w:spacing w:after="0"/>
        <w:textAlignment w:val="baseline"/>
        <w:rPr>
          <w:rFonts w:cstheme="minorHAnsi"/>
          <w:color w:val="000000"/>
          <w:shd w:val="clear" w:color="auto" w:fill="FFFFFF"/>
        </w:rPr>
      </w:pPr>
    </w:p>
    <w:p w14:paraId="006E6634" w14:textId="5AEFA404" w:rsidR="00305E16" w:rsidRDefault="00880127" w:rsidP="007B218D">
      <w:pPr>
        <w:shd w:val="clear" w:color="auto" w:fill="FFFFFF" w:themeFill="background1"/>
        <w:spacing w:after="0"/>
        <w:textAlignment w:val="baseline"/>
      </w:pPr>
      <w:r w:rsidRPr="006F6E61">
        <w:rPr>
          <w:rFonts w:cstheme="minorHAnsi"/>
          <w:i/>
          <w:iCs/>
          <w:color w:val="222222"/>
          <w:shd w:val="clear" w:color="auto" w:fill="FFFFFF"/>
        </w:rPr>
        <w:t>Ignorantia juris non excusat</w:t>
      </w:r>
      <w:r w:rsidRPr="006F6E61">
        <w:rPr>
          <w:rFonts w:cstheme="minorHAnsi"/>
          <w:i/>
          <w:iCs/>
          <w:color w:val="222222"/>
          <w:shd w:val="clear" w:color="auto" w:fill="FFFFFF"/>
        </w:rPr>
        <w:t xml:space="preserve"> / Ig</w:t>
      </w:r>
      <w:r w:rsidRPr="006F6E61">
        <w:rPr>
          <w:rFonts w:cstheme="minorHAnsi"/>
          <w:i/>
          <w:iCs/>
          <w:color w:val="222222"/>
          <w:shd w:val="clear" w:color="auto" w:fill="FFFFFF"/>
        </w:rPr>
        <w:t>norantia legis neminem excusat</w:t>
      </w:r>
      <w:r w:rsidR="002B1D10" w:rsidRPr="006F6E61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="002B1D10" w:rsidRPr="006F6E61">
        <w:rPr>
          <w:rFonts w:cstheme="minorHAnsi"/>
          <w:color w:val="222222"/>
          <w:shd w:val="clear" w:color="auto" w:fill="FFFFFF"/>
        </w:rPr>
        <w:t>[</w:t>
      </w:r>
      <w:r w:rsidRPr="006F6E61">
        <w:rPr>
          <w:rFonts w:cstheme="minorHAnsi"/>
          <w:color w:val="222222"/>
          <w:shd w:val="clear" w:color="auto" w:fill="FFFFFF"/>
        </w:rPr>
        <w:t>"ignorance of law excuses no one"</w:t>
      </w:r>
      <w:r w:rsidR="002B1D10" w:rsidRPr="006F6E61">
        <w:rPr>
          <w:rFonts w:cstheme="minorHAnsi"/>
          <w:color w:val="222222"/>
          <w:shd w:val="clear" w:color="auto" w:fill="FFFFFF"/>
        </w:rPr>
        <w:t xml:space="preserve">]  These </w:t>
      </w:r>
      <w:r w:rsidRPr="006F6E61">
        <w:rPr>
          <w:rFonts w:cstheme="minorHAnsi"/>
          <w:color w:val="222222"/>
          <w:shd w:val="clear" w:color="auto" w:fill="FFFFFF"/>
        </w:rPr>
        <w:t>legal principle</w:t>
      </w:r>
      <w:r w:rsidR="002B1D10" w:rsidRPr="006F6E61">
        <w:rPr>
          <w:rFonts w:cstheme="minorHAnsi"/>
          <w:color w:val="222222"/>
          <w:shd w:val="clear" w:color="auto" w:fill="FFFFFF"/>
        </w:rPr>
        <w:t>s</w:t>
      </w:r>
      <w:r w:rsidRPr="006F6E61">
        <w:rPr>
          <w:rFonts w:cstheme="minorHAnsi"/>
          <w:color w:val="222222"/>
          <w:shd w:val="clear" w:color="auto" w:fill="FFFFFF"/>
        </w:rPr>
        <w:t xml:space="preserve"> </w:t>
      </w:r>
      <w:r w:rsidR="002B1D10" w:rsidRPr="006F6E61">
        <w:rPr>
          <w:rFonts w:cstheme="minorHAnsi"/>
          <w:color w:val="222222"/>
          <w:shd w:val="clear" w:color="auto" w:fill="FFFFFF"/>
        </w:rPr>
        <w:t xml:space="preserve">detail, that simply being </w:t>
      </w:r>
      <w:r w:rsidR="006F6E61" w:rsidRPr="006F6E61">
        <w:rPr>
          <w:rFonts w:cstheme="minorHAnsi"/>
          <w:color w:val="222222"/>
          <w:shd w:val="clear" w:color="auto" w:fill="FFFFFF"/>
        </w:rPr>
        <w:t>‘</w:t>
      </w:r>
      <w:r w:rsidRPr="006F6E61">
        <w:rPr>
          <w:rFonts w:cstheme="minorHAnsi"/>
          <w:color w:val="222222"/>
          <w:shd w:val="clear" w:color="auto" w:fill="FFFFFF"/>
        </w:rPr>
        <w:t>unaware</w:t>
      </w:r>
      <w:r w:rsidR="006F6E61" w:rsidRPr="006F6E61">
        <w:rPr>
          <w:rFonts w:cstheme="minorHAnsi"/>
          <w:color w:val="222222"/>
          <w:shd w:val="clear" w:color="auto" w:fill="FFFFFF"/>
        </w:rPr>
        <w:t>’</w:t>
      </w:r>
      <w:r w:rsidRPr="006F6E61">
        <w:rPr>
          <w:rFonts w:cstheme="minorHAnsi"/>
          <w:color w:val="222222"/>
          <w:shd w:val="clear" w:color="auto" w:fill="FFFFFF"/>
        </w:rPr>
        <w:t xml:space="preserve"> of </w:t>
      </w:r>
      <w:r w:rsidR="002B1D10" w:rsidRPr="006F6E61">
        <w:rPr>
          <w:rFonts w:cstheme="minorHAnsi"/>
          <w:color w:val="222222"/>
          <w:shd w:val="clear" w:color="auto" w:fill="FFFFFF"/>
        </w:rPr>
        <w:t xml:space="preserve">the legislation, </w:t>
      </w:r>
      <w:r w:rsidR="006F6E61" w:rsidRPr="006F6E61">
        <w:rPr>
          <w:rFonts w:cstheme="minorHAnsi"/>
          <w:color w:val="222222"/>
          <w:shd w:val="clear" w:color="auto" w:fill="FFFFFF"/>
        </w:rPr>
        <w:t>i</w:t>
      </w:r>
      <w:r w:rsidR="002B1D10" w:rsidRPr="006F6E61">
        <w:rPr>
          <w:rFonts w:cstheme="minorHAnsi"/>
          <w:color w:val="222222"/>
          <w:shd w:val="clear" w:color="auto" w:fill="FFFFFF"/>
        </w:rPr>
        <w:t xml:space="preserve">s not a means to be set free of </w:t>
      </w:r>
      <w:hyperlink r:id="rId7" w:tooltip="Legal liability" w:history="1">
        <w:r w:rsidRPr="006F6E61">
          <w:rPr>
            <w:rStyle w:val="Hyperlink"/>
            <w:rFonts w:cstheme="minorHAnsi"/>
            <w:color w:val="auto"/>
            <w:u w:val="none"/>
            <w:shd w:val="clear" w:color="auto" w:fill="FFFFFF"/>
          </w:rPr>
          <w:t>liability</w:t>
        </w:r>
      </w:hyperlink>
      <w:r w:rsidR="00A733E4">
        <w:rPr>
          <w:rFonts w:cstheme="minorHAnsi"/>
          <w:shd w:val="clear" w:color="auto" w:fill="FFFFFF"/>
        </w:rPr>
        <w:t xml:space="preserve">, </w:t>
      </w:r>
      <w:r w:rsidRPr="006F6E61">
        <w:rPr>
          <w:rFonts w:cstheme="minorHAnsi"/>
          <w:color w:val="222222"/>
          <w:shd w:val="clear" w:color="auto" w:fill="FFFFFF"/>
        </w:rPr>
        <w:t xml:space="preserve">for </w:t>
      </w:r>
      <w:r w:rsidR="002B1D10" w:rsidRPr="006F6E61">
        <w:rPr>
          <w:rFonts w:cstheme="minorHAnsi"/>
          <w:color w:val="222222"/>
          <w:shd w:val="clear" w:color="auto" w:fill="FFFFFF"/>
        </w:rPr>
        <w:t>no</w:t>
      </w:r>
      <w:r w:rsidR="006F6E61">
        <w:rPr>
          <w:rFonts w:cstheme="minorHAnsi"/>
          <w:color w:val="222222"/>
          <w:shd w:val="clear" w:color="auto" w:fill="FFFFFF"/>
        </w:rPr>
        <w:t xml:space="preserve">t </w:t>
      </w:r>
      <w:r w:rsidR="006F6E61" w:rsidRPr="006F6E61">
        <w:rPr>
          <w:rFonts w:cstheme="minorHAnsi"/>
          <w:color w:val="222222"/>
          <w:shd w:val="clear" w:color="auto" w:fill="FFFFFF"/>
        </w:rPr>
        <w:t>enacting the l</w:t>
      </w:r>
      <w:r w:rsidR="002B1D10" w:rsidRPr="006F6E61">
        <w:rPr>
          <w:rFonts w:cstheme="minorHAnsi"/>
          <w:color w:val="222222"/>
          <w:shd w:val="clear" w:color="auto" w:fill="FFFFFF"/>
        </w:rPr>
        <w:t xml:space="preserve">aw. </w:t>
      </w:r>
      <w:r w:rsidR="006F6E61" w:rsidRPr="006F6E61">
        <w:rPr>
          <w:rFonts w:cstheme="minorHAnsi"/>
          <w:color w:val="222222"/>
          <w:shd w:val="clear" w:color="auto" w:fill="FFFFFF"/>
        </w:rPr>
        <w:t>Therefore,</w:t>
      </w:r>
      <w:r w:rsidR="002B1D10" w:rsidRPr="006F6E61">
        <w:rPr>
          <w:rFonts w:cstheme="minorHAnsi"/>
          <w:color w:val="222222"/>
          <w:shd w:val="clear" w:color="auto" w:fill="FFFFFF"/>
        </w:rPr>
        <w:t xml:space="preserve"> the author</w:t>
      </w:r>
      <w:r w:rsidR="006F6E61">
        <w:rPr>
          <w:rFonts w:cstheme="minorHAnsi"/>
          <w:color w:val="222222"/>
          <w:shd w:val="clear" w:color="auto" w:fill="FFFFFF"/>
        </w:rPr>
        <w:t xml:space="preserve"> calls </w:t>
      </w:r>
      <w:r w:rsidR="006F6E61" w:rsidRPr="006F6E61">
        <w:rPr>
          <w:rFonts w:cstheme="minorHAnsi"/>
          <w:color w:val="222222"/>
          <w:shd w:val="clear" w:color="auto" w:fill="FFFFFF"/>
        </w:rPr>
        <w:t xml:space="preserve">for a </w:t>
      </w:r>
      <w:r w:rsidR="00305E16" w:rsidRPr="006F6E61">
        <w:rPr>
          <w:rFonts w:cstheme="minorHAnsi"/>
        </w:rPr>
        <w:t>SEND</w:t>
      </w:r>
      <w:r w:rsidR="006F6E61" w:rsidRPr="006F6E61">
        <w:rPr>
          <w:rFonts w:cstheme="minorHAnsi"/>
        </w:rPr>
        <w:t xml:space="preserve"> / </w:t>
      </w:r>
      <w:r w:rsidR="00305E16" w:rsidRPr="006F6E61">
        <w:rPr>
          <w:rFonts w:cstheme="minorHAnsi"/>
        </w:rPr>
        <w:t>Educational Accountability Act</w:t>
      </w:r>
      <w:r w:rsidR="002B1D10" w:rsidRPr="006F6E61">
        <w:rPr>
          <w:rFonts w:cstheme="minorHAnsi"/>
        </w:rPr>
        <w:t xml:space="preserve">. </w:t>
      </w:r>
    </w:p>
    <w:sectPr w:rsidR="00305E16" w:rsidSect="007B218D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C5F41"/>
    <w:multiLevelType w:val="multilevel"/>
    <w:tmpl w:val="2D769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70DCF"/>
    <w:multiLevelType w:val="hybridMultilevel"/>
    <w:tmpl w:val="ECB0C7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F63"/>
    <w:rsid w:val="00025CA3"/>
    <w:rsid w:val="000325E8"/>
    <w:rsid w:val="000457FA"/>
    <w:rsid w:val="000609D0"/>
    <w:rsid w:val="000B3328"/>
    <w:rsid w:val="001003D0"/>
    <w:rsid w:val="00192F2E"/>
    <w:rsid w:val="002B1D10"/>
    <w:rsid w:val="00305E16"/>
    <w:rsid w:val="00307929"/>
    <w:rsid w:val="00341634"/>
    <w:rsid w:val="00343EC7"/>
    <w:rsid w:val="00487AB5"/>
    <w:rsid w:val="00595300"/>
    <w:rsid w:val="005E6007"/>
    <w:rsid w:val="005F2F0D"/>
    <w:rsid w:val="00645DBF"/>
    <w:rsid w:val="006B3DF4"/>
    <w:rsid w:val="006F6E61"/>
    <w:rsid w:val="00742179"/>
    <w:rsid w:val="007923D5"/>
    <w:rsid w:val="007B218D"/>
    <w:rsid w:val="00807D2C"/>
    <w:rsid w:val="00880127"/>
    <w:rsid w:val="00914924"/>
    <w:rsid w:val="00933F5E"/>
    <w:rsid w:val="00986138"/>
    <w:rsid w:val="009C3457"/>
    <w:rsid w:val="009F2AA6"/>
    <w:rsid w:val="00A07C05"/>
    <w:rsid w:val="00A4054A"/>
    <w:rsid w:val="00A46DE7"/>
    <w:rsid w:val="00A733E4"/>
    <w:rsid w:val="00AF6A8B"/>
    <w:rsid w:val="00B017FF"/>
    <w:rsid w:val="00B24EFF"/>
    <w:rsid w:val="00B75BD2"/>
    <w:rsid w:val="00BC7BB4"/>
    <w:rsid w:val="00BF70CF"/>
    <w:rsid w:val="00C8676D"/>
    <w:rsid w:val="00CB2CBF"/>
    <w:rsid w:val="00CF20BF"/>
    <w:rsid w:val="00CF33AC"/>
    <w:rsid w:val="00D322D2"/>
    <w:rsid w:val="00D52606"/>
    <w:rsid w:val="00DC1E55"/>
    <w:rsid w:val="00DC2F63"/>
    <w:rsid w:val="00E76463"/>
    <w:rsid w:val="00E95848"/>
    <w:rsid w:val="00EC596E"/>
    <w:rsid w:val="00F37383"/>
    <w:rsid w:val="00F50D32"/>
    <w:rsid w:val="00F65761"/>
    <w:rsid w:val="00F66EE3"/>
    <w:rsid w:val="00F717E1"/>
    <w:rsid w:val="00FD0B2C"/>
    <w:rsid w:val="00FE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8EAD6"/>
  <w15:docId w15:val="{0A8943EB-5527-4EBB-8435-2DED00E5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F63"/>
  </w:style>
  <w:style w:type="paragraph" w:styleId="Heading1">
    <w:name w:val="heading 1"/>
    <w:basedOn w:val="Normal"/>
    <w:link w:val="Heading1Char"/>
    <w:uiPriority w:val="9"/>
    <w:qFormat/>
    <w:rsid w:val="005953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5953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59530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9530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idm">
    <w:name w:val="idm"/>
    <w:basedOn w:val="DefaultParagraphFont"/>
    <w:rsid w:val="00305E16"/>
  </w:style>
  <w:style w:type="character" w:customStyle="1" w:styleId="star-btn">
    <w:name w:val="star-btn"/>
    <w:basedOn w:val="DefaultParagraphFont"/>
    <w:rsid w:val="00305E16"/>
  </w:style>
  <w:style w:type="character" w:customStyle="1" w:styleId="def">
    <w:name w:val="def"/>
    <w:basedOn w:val="DefaultParagraphFont"/>
    <w:rsid w:val="00305E16"/>
  </w:style>
  <w:style w:type="character" w:styleId="Hyperlink">
    <w:name w:val="Hyperlink"/>
    <w:basedOn w:val="DefaultParagraphFont"/>
    <w:uiPriority w:val="99"/>
    <w:semiHidden/>
    <w:unhideWhenUsed/>
    <w:rsid w:val="00060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9085">
          <w:marLeft w:val="0"/>
          <w:marRight w:val="300"/>
          <w:marTop w:val="0"/>
          <w:marBottom w:val="270"/>
          <w:divBdr>
            <w:top w:val="single" w:sz="6" w:space="11" w:color="E6E6E6"/>
            <w:left w:val="single" w:sz="6" w:space="11" w:color="E6E6E6"/>
            <w:bottom w:val="single" w:sz="6" w:space="11" w:color="E6E6E6"/>
            <w:right w:val="single" w:sz="6" w:space="11" w:color="E6E6E6"/>
          </w:divBdr>
        </w:div>
      </w:divsChild>
    </w:div>
    <w:div w:id="1588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Legal_liabil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9-01-25T08:57:07.17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 4 14616,'-24'0'0,"17"0"-5312,-1 0 5312,4 0-5312,1-2 5312,-5 0-1192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Janet Willicott</cp:lastModifiedBy>
  <cp:revision>10</cp:revision>
  <cp:lastPrinted>2019-11-21T07:29:00Z</cp:lastPrinted>
  <dcterms:created xsi:type="dcterms:W3CDTF">2019-11-20T15:17:00Z</dcterms:created>
  <dcterms:modified xsi:type="dcterms:W3CDTF">2019-11-21T17:26:00Z</dcterms:modified>
</cp:coreProperties>
</file>