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0B336" w14:textId="39F5AE91" w:rsidR="00A40BEE" w:rsidRPr="006F6E61" w:rsidRDefault="00A40BEE" w:rsidP="00F86971">
      <w:pPr>
        <w:spacing w:after="0" w:line="240" w:lineRule="auto"/>
        <w:jc w:val="both"/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  <w:t xml:space="preserve">The </w:t>
      </w:r>
      <w:r w:rsidRPr="006F6E61"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  <w:t>Lack of Behavioural Change within Education, Health and Social Care</w:t>
      </w:r>
      <w:r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  <w:t xml:space="preserve"> Departments or Institutions</w:t>
      </w:r>
      <w:r w:rsidR="00F86971"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  <w:t>directly c</w:t>
      </w:r>
      <w:r w:rsidRPr="006F6E61"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  <w:t>orrelate</w:t>
      </w:r>
      <w:r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  <w:t>s</w:t>
      </w:r>
      <w:r w:rsidRPr="006F6E61"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  <w:t xml:space="preserve"> to</w:t>
      </w:r>
      <w:r w:rsidR="00F86971"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  <w:t xml:space="preserve"> the E</w:t>
      </w:r>
      <w:r w:rsidRPr="006F6E61"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  <w:t xml:space="preserve">xponential Rise in </w:t>
      </w:r>
      <w:r w:rsidR="00C7514C"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  <w:t xml:space="preserve">the </w:t>
      </w:r>
      <w:r w:rsidR="00F86971"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  <w:t>c</w:t>
      </w:r>
      <w:r w:rsidRPr="006F6E61"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  <w:t xml:space="preserve">ontinued Lack of Accountability </w:t>
      </w:r>
    </w:p>
    <w:p w14:paraId="6F67D6BC" w14:textId="77777777" w:rsidR="00A40BEE" w:rsidRPr="006F6E61" w:rsidRDefault="00A40BEE" w:rsidP="00F86971">
      <w:pPr>
        <w:spacing w:after="0" w:line="240" w:lineRule="auto"/>
        <w:jc w:val="both"/>
        <w:rPr>
          <w:rFonts w:cstheme="minorHAnsi"/>
          <w14:textOutline w14:w="5270" w14:cap="flat" w14:cmpd="sng" w14:algn="ctr">
            <w14:noFill/>
            <w14:prstDash w14:val="solid"/>
            <w14:round/>
          </w14:textOutline>
        </w:rPr>
      </w:pPr>
      <w:r w:rsidRPr="006F6E61">
        <w:rPr>
          <w:rFonts w:cstheme="minorHAnsi"/>
          <w:vertAlign w:val="superscript"/>
          <w14:textOutline w14:w="5270" w14:cap="flat" w14:cmpd="sng" w14:algn="ctr">
            <w14:noFill/>
            <w14:prstDash w14:val="solid"/>
            <w14:round/>
          </w14:textOutline>
        </w:rPr>
        <w:t>©</w:t>
      </w:r>
      <w:r w:rsidRPr="006F6E61">
        <w:rPr>
          <w:rFonts w:cstheme="minorHAnsi"/>
          <w14:textOutline w14:w="5270" w14:cap="flat" w14:cmpd="sng" w14:algn="ctr">
            <w14:noFill/>
            <w14:prstDash w14:val="solid"/>
            <w14:round/>
          </w14:textOutline>
        </w:rPr>
        <w:t>JH Willicott</w:t>
      </w:r>
      <w:r>
        <w:rPr>
          <w:rFonts w:cstheme="minorHAnsi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</w:p>
    <w:p w14:paraId="7DA5EC5E" w14:textId="77777777" w:rsidR="00A40BEE" w:rsidRPr="006F6E61" w:rsidRDefault="00A40BEE" w:rsidP="00F86971">
      <w:pPr>
        <w:spacing w:after="0" w:line="240" w:lineRule="auto"/>
        <w:jc w:val="both"/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</w:pPr>
    </w:p>
    <w:p w14:paraId="359A82B7" w14:textId="4CD62934" w:rsidR="00A40BEE" w:rsidRPr="006F6E61" w:rsidRDefault="00A40BEE" w:rsidP="00F86971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“Our Government is here to protect us, it shouldn’t be about SEND Families and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their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Children having to protect themselves from our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G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>overnment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’s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SEND failures.”</w:t>
      </w:r>
      <w:r w:rsidR="00F8697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>~JH Willicott (2019)</w:t>
      </w:r>
    </w:p>
    <w:p w14:paraId="53E67B86" w14:textId="77777777" w:rsidR="00A40BEE" w:rsidRPr="00DC2F63" w:rsidRDefault="00A40BEE" w:rsidP="00A40BEE">
      <w:pPr>
        <w:spacing w:before="240" w:after="0" w:line="240" w:lineRule="auto"/>
        <w:ind w:left="720"/>
        <w:jc w:val="center"/>
        <w:rPr>
          <w:rFonts w:cstheme="minorHAnsi"/>
          <w:sz w:val="24"/>
          <w:szCs w:val="24"/>
          <w:lang w:val="en"/>
        </w:rPr>
      </w:pPr>
      <w:r>
        <w:rPr>
          <w:rFonts w:cstheme="minorHAnsi"/>
          <w:noProof/>
          <w:sz w:val="24"/>
          <w:szCs w:val="24"/>
          <w:lang w:val="en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2627513" wp14:editId="76324546">
                <wp:simplePos x="0" y="0"/>
                <wp:positionH relativeFrom="column">
                  <wp:posOffset>3373140</wp:posOffset>
                </wp:positionH>
                <wp:positionV relativeFrom="paragraph">
                  <wp:posOffset>226515</wp:posOffset>
                </wp:positionV>
                <wp:extent cx="19800" cy="1800"/>
                <wp:effectExtent l="38100" t="57150" r="56515" b="5588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980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1AE60F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264.9pt;margin-top:17.15pt;width:2.95pt;height: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">
                <v:imagedata r:id="rId5" o:title=""/>
              </v:shape>
            </w:pict>
          </mc:Fallback>
        </mc:AlternateContent>
      </w:r>
    </w:p>
    <w:p w14:paraId="4C1DB62B" w14:textId="1B97524B" w:rsidR="00A40BEE" w:rsidRDefault="00A40BEE" w:rsidP="00A40BEE">
      <w:pPr>
        <w:spacing w:after="0"/>
        <w:rPr>
          <w:rFonts w:cstheme="minorHAnsi"/>
        </w:rPr>
      </w:pPr>
      <w:r w:rsidRPr="006F6E61">
        <w:rPr>
          <w:rFonts w:cstheme="minorHAnsi"/>
        </w:rPr>
        <w:t xml:space="preserve">[Janet Willicott – Independent Public Health </w:t>
      </w:r>
      <w:r w:rsidR="004D0DB8">
        <w:rPr>
          <w:rFonts w:cstheme="minorHAnsi"/>
        </w:rPr>
        <w:t xml:space="preserve">Combined </w:t>
      </w:r>
      <w:r>
        <w:rPr>
          <w:rFonts w:cstheme="minorHAnsi"/>
        </w:rPr>
        <w:t xml:space="preserve">Scientific </w:t>
      </w:r>
      <w:r w:rsidR="004D0DB8">
        <w:rPr>
          <w:rFonts w:cstheme="minorHAnsi"/>
        </w:rPr>
        <w:t xml:space="preserve">&amp; Legal </w:t>
      </w:r>
      <w:r w:rsidRPr="006F6E61">
        <w:rPr>
          <w:rFonts w:cstheme="minorHAnsi"/>
        </w:rPr>
        <w:t>Researcher</w:t>
      </w:r>
      <w:r>
        <w:rPr>
          <w:rFonts w:cstheme="minorHAnsi"/>
        </w:rPr>
        <w:t xml:space="preserve"> for</w:t>
      </w:r>
      <w:r w:rsidRPr="006F6E61">
        <w:rPr>
          <w:rFonts w:cstheme="minorHAnsi"/>
        </w:rPr>
        <w:t xml:space="preserve"> SEND Education</w:t>
      </w:r>
      <w:r>
        <w:rPr>
          <w:rFonts w:cstheme="minorHAnsi"/>
        </w:rPr>
        <w:t xml:space="preserve"> Outcomes and </w:t>
      </w:r>
      <w:r w:rsidRPr="006F6E61">
        <w:rPr>
          <w:rFonts w:cstheme="minorHAnsi"/>
        </w:rPr>
        <w:t xml:space="preserve">Neuro Plasticity </w:t>
      </w:r>
      <w:r w:rsidR="00C7514C">
        <w:rPr>
          <w:rFonts w:cstheme="minorHAnsi"/>
        </w:rPr>
        <w:t>Mo</w:t>
      </w:r>
      <w:r w:rsidRPr="006F6E61">
        <w:rPr>
          <w:rFonts w:cstheme="minorHAnsi"/>
        </w:rPr>
        <w:t>del</w:t>
      </w:r>
      <w:r>
        <w:rPr>
          <w:rFonts w:cstheme="minorHAnsi"/>
        </w:rPr>
        <w:t>s.</w:t>
      </w:r>
      <w:r w:rsidRPr="006F6E61">
        <w:rPr>
          <w:rFonts w:cstheme="minorHAnsi"/>
        </w:rPr>
        <w:t xml:space="preserve">) Mother, Carer and outspoken </w:t>
      </w:r>
      <w:r>
        <w:rPr>
          <w:rFonts w:cstheme="minorHAnsi"/>
        </w:rPr>
        <w:t>Campaign</w:t>
      </w:r>
      <w:r w:rsidR="00F86971">
        <w:rPr>
          <w:rFonts w:cstheme="minorHAnsi"/>
        </w:rPr>
        <w:t xml:space="preserve">ing </w:t>
      </w:r>
      <w:r w:rsidRPr="006F6E61">
        <w:rPr>
          <w:rFonts w:cstheme="minorHAnsi"/>
        </w:rPr>
        <w:t xml:space="preserve">Advocate for </w:t>
      </w:r>
      <w:r>
        <w:rPr>
          <w:rFonts w:cstheme="minorHAnsi"/>
        </w:rPr>
        <w:t xml:space="preserve">ALL </w:t>
      </w:r>
      <w:r w:rsidRPr="006F6E61">
        <w:rPr>
          <w:rFonts w:cstheme="minorHAnsi"/>
        </w:rPr>
        <w:t xml:space="preserve">children. Hobbies: Educational </w:t>
      </w:r>
      <w:r>
        <w:rPr>
          <w:rFonts w:cstheme="minorHAnsi"/>
        </w:rPr>
        <w:t>n</w:t>
      </w:r>
      <w:r w:rsidRPr="006F6E61">
        <w:rPr>
          <w:rFonts w:cstheme="minorHAnsi"/>
        </w:rPr>
        <w:t xml:space="preserve">euroscience, </w:t>
      </w:r>
      <w:r>
        <w:rPr>
          <w:rFonts w:cstheme="minorHAnsi"/>
        </w:rPr>
        <w:t xml:space="preserve">eating </w:t>
      </w:r>
      <w:r w:rsidRPr="006F6E61">
        <w:rPr>
          <w:rFonts w:cstheme="minorHAnsi"/>
        </w:rPr>
        <w:t>chocolate</w:t>
      </w:r>
      <w:r>
        <w:rPr>
          <w:rFonts w:cstheme="minorHAnsi"/>
        </w:rPr>
        <w:t xml:space="preserve">, </w:t>
      </w:r>
      <w:r w:rsidRPr="006F6E61">
        <w:rPr>
          <w:rFonts w:cstheme="minorHAnsi"/>
        </w:rPr>
        <w:t>running</w:t>
      </w:r>
      <w:r>
        <w:rPr>
          <w:rFonts w:cstheme="minorHAnsi"/>
        </w:rPr>
        <w:t xml:space="preserve"> &amp; drinking craft gin</w:t>
      </w:r>
      <w:r w:rsidRPr="006F6E61">
        <w:rPr>
          <w:rFonts w:cstheme="minorHAnsi"/>
        </w:rPr>
        <w:t>.</w:t>
      </w:r>
      <w:r>
        <w:rPr>
          <w:rFonts w:cstheme="minorHAnsi"/>
        </w:rPr>
        <w:t>]</w:t>
      </w:r>
    </w:p>
    <w:p w14:paraId="2AE27E71" w14:textId="77777777" w:rsidR="00A40BEE" w:rsidRPr="006F6E61" w:rsidRDefault="00A40BEE" w:rsidP="00A40BEE">
      <w:pPr>
        <w:spacing w:after="0"/>
        <w:rPr>
          <w:rFonts w:cstheme="minorHAnsi"/>
        </w:rPr>
      </w:pPr>
    </w:p>
    <w:p w14:paraId="4E198154" w14:textId="1516CC8D" w:rsidR="00A40BEE" w:rsidRDefault="00A40BEE" w:rsidP="00A40BEE">
      <w:pPr>
        <w:shd w:val="clear" w:color="auto" w:fill="FFFFFF"/>
        <w:spacing w:after="0"/>
        <w:textAlignment w:val="baseline"/>
        <w:rPr>
          <w:rFonts w:eastAsia="Times New Roman" w:cstheme="minorHAnsi"/>
          <w:bdr w:val="none" w:sz="0" w:space="0" w:color="auto" w:frame="1"/>
          <w:shd w:val="clear" w:color="auto" w:fill="FFFFFF"/>
          <w:lang w:eastAsia="en-GB"/>
        </w:rPr>
      </w:pPr>
      <w:r w:rsidRPr="006F6E61">
        <w:rPr>
          <w:rFonts w:eastAsia="Times New Roman" w:cstheme="minorHAnsi"/>
        </w:rPr>
        <w:t>The Rule of Law is just that, the law applies equally to all</w:t>
      </w:r>
      <w:r>
        <w:rPr>
          <w:rFonts w:eastAsia="Times New Roman" w:cstheme="minorHAnsi"/>
        </w:rPr>
        <w:t>. L</w:t>
      </w:r>
      <w:r w:rsidRPr="006F6E61">
        <w:rPr>
          <w:rFonts w:eastAsia="Times New Roman" w:cstheme="minorHAnsi"/>
        </w:rPr>
        <w:t>ack of the rule of law can be found in both democracies and monarchies</w:t>
      </w:r>
      <w:r>
        <w:rPr>
          <w:rFonts w:eastAsia="Times New Roman" w:cstheme="minorHAnsi"/>
        </w:rPr>
        <w:t xml:space="preserve">, by simple virtue </w:t>
      </w:r>
      <w:r w:rsidRPr="006F6E61">
        <w:rPr>
          <w:rFonts w:eastAsia="Times New Roman" w:cstheme="minorHAnsi"/>
        </w:rPr>
        <w:t xml:space="preserve">of neglect or ignorance of the law.  The rule of law is more apt to decay, if a government has insufficient corrective mechanisms for restoring it. </w:t>
      </w:r>
      <w:r w:rsidRPr="006F6E61">
        <w:rPr>
          <w:rFonts w:eastAsia="Times New Roman" w:cstheme="minorHAnsi"/>
          <w:bdr w:val="none" w:sz="0" w:space="0" w:color="auto" w:frame="1"/>
          <w:lang w:eastAsia="en-GB"/>
        </w:rPr>
        <w:t xml:space="preserve">The rule of law is </w:t>
      </w:r>
      <w:r w:rsidRPr="006F6E61">
        <w:rPr>
          <w:rFonts w:eastAsia="Times New Roman" w:cstheme="minorHAnsi"/>
          <w:bdr w:val="none" w:sz="0" w:space="0" w:color="auto" w:frame="1"/>
          <w:shd w:val="clear" w:color="auto" w:fill="FFFFFF"/>
          <w:lang w:eastAsia="en-GB"/>
        </w:rPr>
        <w:t>the condition in which all members of society, including its</w:t>
      </w:r>
      <w:r>
        <w:rPr>
          <w:rFonts w:eastAsia="Times New Roman" w:cstheme="minorHAnsi"/>
          <w:bdr w:val="none" w:sz="0" w:space="0" w:color="auto" w:frame="1"/>
          <w:shd w:val="clear" w:color="auto" w:fill="FFFFFF"/>
          <w:lang w:eastAsia="en-GB"/>
        </w:rPr>
        <w:t xml:space="preserve"> Government,</w:t>
      </w:r>
      <w:r w:rsidRPr="006F6E61">
        <w:rPr>
          <w:rFonts w:eastAsia="Times New Roman" w:cstheme="minorHAnsi"/>
          <w:bdr w:val="none" w:sz="0" w:space="0" w:color="auto" w:frame="1"/>
          <w:shd w:val="clear" w:color="auto" w:fill="FFFFFF"/>
          <w:lang w:eastAsia="en-GB"/>
        </w:rPr>
        <w:t xml:space="preserve"> accept the authority of the law. – Oxford Dictionary</w:t>
      </w:r>
    </w:p>
    <w:p w14:paraId="438349E8" w14:textId="77777777" w:rsidR="00A40BEE" w:rsidRPr="006F6E61" w:rsidRDefault="00A40BEE" w:rsidP="00A40BEE">
      <w:pPr>
        <w:shd w:val="clear" w:color="auto" w:fill="FFFFFF"/>
        <w:spacing w:after="0"/>
        <w:textAlignment w:val="baseline"/>
        <w:rPr>
          <w:rFonts w:eastAsia="Times New Roman" w:cstheme="minorHAnsi"/>
          <w:bdr w:val="none" w:sz="0" w:space="0" w:color="auto" w:frame="1"/>
          <w:shd w:val="clear" w:color="auto" w:fill="FFFFFF"/>
          <w:lang w:eastAsia="en-GB"/>
        </w:rPr>
      </w:pPr>
    </w:p>
    <w:p w14:paraId="1EB733AF" w14:textId="459F6A0D" w:rsidR="00A40BEE" w:rsidRDefault="00A40BEE" w:rsidP="00A40BEE">
      <w:pPr>
        <w:pStyle w:val="Heading1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</w:pP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Despite having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the various acts,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inc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luding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Select Committee Review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s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for the purposes of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legislative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amendments; the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various responsible and accountable departments, professionals and organizations,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still act negligent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,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fail to follow legislation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 and </w:t>
      </w:r>
      <w:r w:rsidR="00C7514C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or fail to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enact upon their Duty of Care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. Why? Who then takes accountability when the above-</w:t>
      </w:r>
      <w:r w:rsidR="004D0DB8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referred to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, continue to act with ‘Malfeasance, Misfeasance and Nonfeasance’?</w:t>
      </w:r>
    </w:p>
    <w:p w14:paraId="7546715A" w14:textId="77777777" w:rsidR="00A40BEE" w:rsidRPr="006F6E61" w:rsidRDefault="00A40BEE" w:rsidP="00A40BEE">
      <w:pPr>
        <w:pStyle w:val="Heading1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</w:pPr>
    </w:p>
    <w:p w14:paraId="2A776D0D" w14:textId="65290A83" w:rsidR="00A40BEE" w:rsidRDefault="00A40BEE" w:rsidP="00A40BEE">
      <w:pPr>
        <w:pStyle w:val="Heading1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</w:pP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There is a SEND Crisis; the elephant is still standing in the room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, even though the ‘’A’ word has left the building’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, we therefore need to flip the narrative, of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,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 ‘We have always done it this way’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for more </w:t>
      </w:r>
      <w:r w:rsidR="004D0DB8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favorable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 language of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‘We lead with an inclusive holistic collaborative, joint up interdepartmental, organizational and institutional approach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’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,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which will then </w:t>
      </w:r>
      <w:r w:rsidR="00C7514C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give rise to a c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hange in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cultural behavior</w:t>
      </w:r>
      <w:r w:rsidR="00C7514C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, using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affirmative accountability language rather than adopting </w:t>
      </w:r>
      <w:r w:rsidR="004D0DB8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a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negative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blam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ing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 </w:t>
      </w:r>
      <w:r w:rsidR="00C7514C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narrative. </w:t>
      </w:r>
    </w:p>
    <w:p w14:paraId="429F602B" w14:textId="77777777" w:rsidR="00A40BEE" w:rsidRPr="006F6E61" w:rsidRDefault="00A40BEE" w:rsidP="00A40BEE">
      <w:pPr>
        <w:pStyle w:val="Heading1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</w:pPr>
    </w:p>
    <w:p w14:paraId="7739204B" w14:textId="3611D697" w:rsidR="00A40BEE" w:rsidRDefault="00A40BEE" w:rsidP="00A40BEE">
      <w:pPr>
        <w:pStyle w:val="Heading1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</w:pP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It is seen as commendable to want to find alternative strategies to bring an end to this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SEND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crisis, however, simply highlighting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the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scrapping of the much fought for and needed EHC Plan, by an unaccountable collective body of trusts, under the Academies Act 2010, means that this alternative remedy or strategy, is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merely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fiscally driven and most certainly not in the best interests of the Child or Young Person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,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 as laid out in the Children and Families Act 2014. Simply shifting the cultural narrative from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,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‘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it is not working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’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, to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‘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let’s make it work</w:t>
      </w:r>
      <w:r w:rsidR="004D0DB8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’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, through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whole cost accounting and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accountability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 reform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, will ensure that this SEND crisis is brought under control. There is not even an EHCP template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 in situ,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no wonder it is NOT working. Scrapping a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n entire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 ‘system’ designed to support SEND,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only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show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s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deliberate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ignorance of the law. </w:t>
      </w:r>
    </w:p>
    <w:p w14:paraId="6598D2CE" w14:textId="77777777" w:rsidR="00A40BEE" w:rsidRPr="006F6E61" w:rsidRDefault="00A40BEE" w:rsidP="00A40BEE">
      <w:pPr>
        <w:pStyle w:val="Heading1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</w:pPr>
    </w:p>
    <w:p w14:paraId="32DC28E4" w14:textId="2C3E38BC" w:rsidR="00A40BEE" w:rsidRDefault="00A40BEE" w:rsidP="00A40BEE">
      <w:pPr>
        <w:pStyle w:val="Heading1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Moreover, had the Education Select Committee included a thorough and rigorous Cost Benefit and Cost-Effective Analysis Model into their research for the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Special Educational Needs and Disabilities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I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>nquiry, it would have clearly highlighted the underlying impact</w:t>
      </w:r>
      <w:r w:rsidR="004D0DB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ing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funding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>discrepanc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ies.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Funding bands, whether ring fenced or not, are based on political </w:t>
      </w:r>
      <w:r w:rsidR="004D0DB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time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>frame</w:t>
      </w:r>
      <w:r w:rsidR="004D0DB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by the political party who has the parliamentary majority at the time. </w:t>
      </w:r>
    </w:p>
    <w:p w14:paraId="43197690" w14:textId="77777777" w:rsidR="00A40BEE" w:rsidRPr="006F6E61" w:rsidRDefault="00A40BEE" w:rsidP="00A40BEE">
      <w:pPr>
        <w:pStyle w:val="Heading1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2E653F2" w14:textId="77777777" w:rsidR="00A40BEE" w:rsidRDefault="00A40BEE" w:rsidP="00A40BEE">
      <w:pPr>
        <w:pStyle w:val="Heading1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>Education and health care should not be subjected to the same political time frame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but rather be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implemented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>using a generational budget [0-25] forecast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analysis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with early intervention policies as the driver; yet it takes a single public health researcher to ask the Select Committee: “Did you use a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Cost Benefit / Cost Effective Analysis Model to determine your findings?” to which came the rather red faced reply, “</w:t>
      </w:r>
      <w:proofErr w:type="spellStart"/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>Ummm</w:t>
      </w:r>
      <w:proofErr w:type="spellEnd"/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>, well, no, no one asked for it …”!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(SEND Groups, Organisations, Charities, Think Tanks, Lobby Groups, Academics, Professionals, Parents and Individuals, have been asking for accountability and cost analysis for years.)</w:t>
      </w:r>
    </w:p>
    <w:p w14:paraId="192F3865" w14:textId="77777777" w:rsidR="00A40BEE" w:rsidRPr="006F6E61" w:rsidRDefault="00A40BEE" w:rsidP="00A40BEE">
      <w:pPr>
        <w:pStyle w:val="Heading1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3932720" w14:textId="210BF7F4" w:rsidR="00A40BEE" w:rsidRDefault="00A40BEE" w:rsidP="00A40BE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F6E61">
        <w:rPr>
          <w:rFonts w:asciiTheme="minorHAnsi" w:hAnsiTheme="minorHAnsi" w:cstheme="minorHAnsi"/>
          <w:sz w:val="22"/>
          <w:szCs w:val="22"/>
        </w:rPr>
        <w:t xml:space="preserve">How then, can the latest SEND Review Report be that accurate, if it didn’t even </w:t>
      </w:r>
      <w:r w:rsidR="004D0DB8">
        <w:rPr>
          <w:rFonts w:asciiTheme="minorHAnsi" w:hAnsiTheme="minorHAnsi" w:cstheme="minorHAnsi"/>
          <w:sz w:val="22"/>
          <w:szCs w:val="22"/>
        </w:rPr>
        <w:t xml:space="preserve">reflect </w:t>
      </w:r>
      <w:r w:rsidRPr="006F6E61">
        <w:rPr>
          <w:rFonts w:asciiTheme="minorHAnsi" w:hAnsiTheme="minorHAnsi" w:cstheme="minorHAnsi"/>
          <w:sz w:val="22"/>
          <w:szCs w:val="22"/>
        </w:rPr>
        <w:t>the whole impacting long-term cost? We only need to re</w:t>
      </w:r>
      <w:r w:rsidR="004D0DB8">
        <w:rPr>
          <w:rFonts w:asciiTheme="minorHAnsi" w:hAnsiTheme="minorHAnsi" w:cstheme="minorHAnsi"/>
          <w:sz w:val="22"/>
          <w:szCs w:val="22"/>
        </w:rPr>
        <w:t xml:space="preserve">fer to </w:t>
      </w:r>
      <w:r w:rsidRPr="006F6E61">
        <w:rPr>
          <w:rFonts w:asciiTheme="minorHAnsi" w:hAnsiTheme="minorHAnsi" w:cstheme="minorHAnsi"/>
          <w:sz w:val="22"/>
          <w:szCs w:val="22"/>
        </w:rPr>
        <w:t xml:space="preserve">the independent report to the government by Graham Allen MP, </w:t>
      </w:r>
      <w:r w:rsidR="00C7514C">
        <w:rPr>
          <w:rFonts w:asciiTheme="minorHAnsi" w:hAnsiTheme="minorHAnsi" w:cstheme="minorHAnsi"/>
          <w:sz w:val="22"/>
          <w:szCs w:val="22"/>
        </w:rPr>
        <w:t xml:space="preserve">for the reasons why cost benefit and cost-effective analysis is </w:t>
      </w:r>
      <w:r w:rsidR="00885B51">
        <w:rPr>
          <w:rFonts w:asciiTheme="minorHAnsi" w:hAnsiTheme="minorHAnsi" w:cstheme="minorHAnsi"/>
          <w:sz w:val="22"/>
          <w:szCs w:val="22"/>
        </w:rPr>
        <w:t>imperative</w:t>
      </w:r>
      <w:r w:rsidR="00C7514C">
        <w:rPr>
          <w:rFonts w:asciiTheme="minorHAnsi" w:hAnsiTheme="minorHAnsi" w:cstheme="minorHAnsi"/>
          <w:sz w:val="22"/>
          <w:szCs w:val="22"/>
        </w:rPr>
        <w:t xml:space="preserve">. </w:t>
      </w:r>
      <w:r w:rsidRPr="006F6E61">
        <w:rPr>
          <w:rFonts w:asciiTheme="minorHAnsi" w:hAnsiTheme="minorHAnsi" w:cstheme="minorHAnsi"/>
          <w:sz w:val="22"/>
          <w:szCs w:val="22"/>
        </w:rPr>
        <w:t>‘</w:t>
      </w:r>
      <w:r w:rsidRPr="000609D0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Early intervention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, equals </w:t>
      </w:r>
      <w:r w:rsidRPr="000609D0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smart investment, massive savings</w:t>
      </w:r>
      <w:r w:rsidRPr="000609D0">
        <w:rPr>
          <w:rFonts w:asciiTheme="minorHAnsi" w:hAnsiTheme="minorHAnsi" w:cstheme="minorHAnsi"/>
          <w:sz w:val="22"/>
          <w:szCs w:val="22"/>
        </w:rPr>
        <w:t>.</w:t>
      </w:r>
      <w:r w:rsidRPr="006F6E61">
        <w:rPr>
          <w:rFonts w:asciiTheme="minorHAnsi" w:hAnsiTheme="minorHAnsi" w:cstheme="minorHAnsi"/>
          <w:sz w:val="22"/>
          <w:szCs w:val="22"/>
        </w:rPr>
        <w:t>’</w:t>
      </w:r>
      <w:r>
        <w:rPr>
          <w:rFonts w:asciiTheme="minorHAnsi" w:hAnsiTheme="minorHAnsi" w:cstheme="minorHAnsi"/>
          <w:sz w:val="22"/>
          <w:szCs w:val="22"/>
        </w:rPr>
        <w:t xml:space="preserve"> Has the Government not learnt from this very report? </w:t>
      </w:r>
    </w:p>
    <w:p w14:paraId="7F50C572" w14:textId="77777777" w:rsidR="00A40BEE" w:rsidRPr="000609D0" w:rsidRDefault="00A40BEE" w:rsidP="00A40BE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58B3A9E9" w14:textId="0D2A3F8F" w:rsidR="00A40BEE" w:rsidRDefault="00A40BEE" w:rsidP="00A40BEE">
      <w:pPr>
        <w:shd w:val="clear" w:color="auto" w:fill="FFFFFF" w:themeFill="background1"/>
        <w:spacing w:after="0"/>
        <w:textAlignment w:val="baseline"/>
        <w:rPr>
          <w:rFonts w:eastAsia="Times New Roman" w:cstheme="minorHAnsi"/>
          <w:lang w:eastAsia="en-GB"/>
        </w:rPr>
      </w:pPr>
      <w:r w:rsidRPr="006F6E61">
        <w:rPr>
          <w:rFonts w:eastAsia="Times New Roman" w:cstheme="minorHAnsi"/>
          <w:lang w:eastAsia="en-GB"/>
        </w:rPr>
        <w:t>We only need to be reminded that the Government</w:t>
      </w:r>
      <w:r>
        <w:rPr>
          <w:rFonts w:eastAsia="Times New Roman" w:cstheme="minorHAnsi"/>
          <w:lang w:eastAsia="en-GB"/>
        </w:rPr>
        <w:t>’s</w:t>
      </w:r>
      <w:r w:rsidRPr="006F6E61">
        <w:rPr>
          <w:rFonts w:eastAsia="Times New Roman" w:cstheme="minorHAnsi"/>
          <w:lang w:eastAsia="en-GB"/>
        </w:rPr>
        <w:t xml:space="preserve"> first duty is to ensure all of its citizens are safe from harm, </w:t>
      </w:r>
      <w:r w:rsidRPr="006F6E61">
        <w:rPr>
          <w:rFonts w:cstheme="minorHAnsi"/>
          <w:i/>
          <w:shd w:val="clear" w:color="auto" w:fill="FFFFFF"/>
        </w:rPr>
        <w:t xml:space="preserve">Primum non </w:t>
      </w:r>
      <w:proofErr w:type="spellStart"/>
      <w:r w:rsidRPr="006F6E61">
        <w:rPr>
          <w:rFonts w:cstheme="minorHAnsi"/>
          <w:i/>
          <w:shd w:val="clear" w:color="auto" w:fill="FFFFFF"/>
        </w:rPr>
        <w:t>nocere</w:t>
      </w:r>
      <w:proofErr w:type="spellEnd"/>
      <w:r w:rsidRPr="006F6E61">
        <w:rPr>
          <w:rFonts w:eastAsia="Times New Roman" w:cstheme="minorHAnsi"/>
          <w:lang w:eastAsia="en-GB"/>
        </w:rPr>
        <w:t xml:space="preserve">, and if the Government is causing undue / avoidable harm, by virtue of not implementing the </w:t>
      </w:r>
      <w:r>
        <w:rPr>
          <w:rFonts w:eastAsia="Times New Roman" w:cstheme="minorHAnsi"/>
          <w:lang w:eastAsia="en-GB"/>
        </w:rPr>
        <w:t>H</w:t>
      </w:r>
      <w:r w:rsidRPr="006F6E61">
        <w:rPr>
          <w:rFonts w:eastAsia="Times New Roman" w:cstheme="minorHAnsi"/>
          <w:lang w:eastAsia="en-GB"/>
        </w:rPr>
        <w:t xml:space="preserve">ealth </w:t>
      </w:r>
      <w:r>
        <w:rPr>
          <w:rFonts w:eastAsia="Times New Roman" w:cstheme="minorHAnsi"/>
          <w:lang w:eastAsia="en-GB"/>
        </w:rPr>
        <w:t>P</w:t>
      </w:r>
      <w:r w:rsidRPr="006F6E61">
        <w:rPr>
          <w:rFonts w:eastAsia="Times New Roman" w:cstheme="minorHAnsi"/>
          <w:lang w:eastAsia="en-GB"/>
        </w:rPr>
        <w:t>rinciples</w:t>
      </w:r>
      <w:r>
        <w:rPr>
          <w:rFonts w:eastAsia="Times New Roman" w:cstheme="minorHAnsi"/>
          <w:lang w:eastAsia="en-GB"/>
        </w:rPr>
        <w:t xml:space="preserve"> </w:t>
      </w:r>
      <w:r w:rsidR="00C7514C">
        <w:rPr>
          <w:rFonts w:eastAsia="Times New Roman" w:cstheme="minorHAnsi"/>
          <w:lang w:eastAsia="en-GB"/>
        </w:rPr>
        <w:t>[</w:t>
      </w:r>
      <w:r>
        <w:rPr>
          <w:rFonts w:eastAsia="Times New Roman" w:cstheme="minorHAnsi"/>
          <w:lang w:eastAsia="en-GB"/>
        </w:rPr>
        <w:t>1946]</w:t>
      </w:r>
      <w:r w:rsidRPr="006F6E61">
        <w:rPr>
          <w:rFonts w:eastAsia="Times New Roman" w:cstheme="minorHAnsi"/>
          <w:lang w:eastAsia="en-GB"/>
        </w:rPr>
        <w:t xml:space="preserve">, then why is </w:t>
      </w:r>
      <w:r>
        <w:rPr>
          <w:rFonts w:eastAsia="Times New Roman" w:cstheme="minorHAnsi"/>
          <w:lang w:eastAsia="en-GB"/>
        </w:rPr>
        <w:t>[</w:t>
      </w:r>
      <w:r w:rsidRPr="006F6E61">
        <w:rPr>
          <w:rFonts w:eastAsia="Times New Roman" w:cstheme="minorHAnsi"/>
          <w:lang w:eastAsia="en-GB"/>
        </w:rPr>
        <w:t>it</w:t>
      </w:r>
      <w:r>
        <w:rPr>
          <w:rFonts w:eastAsia="Times New Roman" w:cstheme="minorHAnsi"/>
          <w:lang w:eastAsia="en-GB"/>
        </w:rPr>
        <w:t>]</w:t>
      </w:r>
      <w:r w:rsidRPr="006F6E61">
        <w:rPr>
          <w:rFonts w:eastAsia="Times New Roman" w:cstheme="minorHAnsi"/>
          <w:lang w:eastAsia="en-GB"/>
        </w:rPr>
        <w:t xml:space="preserve"> not held to account, especially when </w:t>
      </w:r>
      <w:r>
        <w:rPr>
          <w:rFonts w:eastAsia="Times New Roman" w:cstheme="minorHAnsi"/>
          <w:lang w:eastAsia="en-GB"/>
        </w:rPr>
        <w:t>[</w:t>
      </w:r>
      <w:r w:rsidRPr="006F6E61">
        <w:rPr>
          <w:rFonts w:eastAsia="Times New Roman" w:cstheme="minorHAnsi"/>
          <w:lang w:eastAsia="en-GB"/>
        </w:rPr>
        <w:t>it</w:t>
      </w:r>
      <w:r>
        <w:rPr>
          <w:rFonts w:eastAsia="Times New Roman" w:cstheme="minorHAnsi"/>
          <w:lang w:eastAsia="en-GB"/>
        </w:rPr>
        <w:t>]</w:t>
      </w:r>
      <w:r w:rsidRPr="006F6E61">
        <w:rPr>
          <w:rFonts w:eastAsia="Times New Roman" w:cstheme="minorHAnsi"/>
          <w:lang w:eastAsia="en-GB"/>
        </w:rPr>
        <w:t xml:space="preserve"> continuously allows its citizens, in this case, </w:t>
      </w:r>
      <w:r>
        <w:rPr>
          <w:rFonts w:eastAsia="Times New Roman" w:cstheme="minorHAnsi"/>
          <w:lang w:eastAsia="en-GB"/>
        </w:rPr>
        <w:t xml:space="preserve">SEND </w:t>
      </w:r>
      <w:r w:rsidR="00C7514C">
        <w:rPr>
          <w:rFonts w:eastAsia="Times New Roman" w:cstheme="minorHAnsi"/>
          <w:lang w:eastAsia="en-GB"/>
        </w:rPr>
        <w:t>C</w:t>
      </w:r>
      <w:r w:rsidRPr="006F6E61">
        <w:rPr>
          <w:rFonts w:eastAsia="Times New Roman" w:cstheme="minorHAnsi"/>
          <w:lang w:eastAsia="en-GB"/>
        </w:rPr>
        <w:t xml:space="preserve">hildren </w:t>
      </w:r>
      <w:r>
        <w:rPr>
          <w:rFonts w:eastAsia="Times New Roman" w:cstheme="minorHAnsi"/>
          <w:lang w:eastAsia="en-GB"/>
        </w:rPr>
        <w:t xml:space="preserve">and Young People </w:t>
      </w:r>
      <w:r w:rsidRPr="006F6E61">
        <w:rPr>
          <w:rFonts w:eastAsia="Times New Roman" w:cstheme="minorHAnsi"/>
          <w:lang w:eastAsia="en-GB"/>
        </w:rPr>
        <w:t>to suffer routinely at the hands of those in senior decision making positions?</w:t>
      </w:r>
    </w:p>
    <w:p w14:paraId="7F8A4774" w14:textId="77777777" w:rsidR="00A40BEE" w:rsidRPr="006F6E61" w:rsidRDefault="00A40BEE" w:rsidP="00A40BEE">
      <w:pPr>
        <w:shd w:val="clear" w:color="auto" w:fill="FFFFFF" w:themeFill="background1"/>
        <w:spacing w:after="0"/>
        <w:textAlignment w:val="baseline"/>
        <w:rPr>
          <w:rFonts w:eastAsia="Times New Roman" w:cstheme="minorHAnsi"/>
          <w:lang w:eastAsia="en-GB"/>
        </w:rPr>
      </w:pPr>
    </w:p>
    <w:p w14:paraId="76E417FC" w14:textId="6384D611" w:rsidR="00A40BEE" w:rsidRDefault="00A40BEE" w:rsidP="00A40BEE">
      <w:pPr>
        <w:shd w:val="clear" w:color="auto" w:fill="FFFFFF" w:themeFill="background1"/>
        <w:spacing w:after="0"/>
        <w:textAlignment w:val="baseline"/>
        <w:rPr>
          <w:rFonts w:cstheme="minorHAnsi"/>
          <w:color w:val="000000"/>
          <w:shd w:val="clear" w:color="auto" w:fill="FFFFFF"/>
        </w:rPr>
      </w:pPr>
      <w:r w:rsidRPr="006F6E61">
        <w:rPr>
          <w:rFonts w:eastAsia="Times New Roman" w:cstheme="minorHAnsi"/>
          <w:lang w:eastAsia="en-GB"/>
        </w:rPr>
        <w:t xml:space="preserve">The departments, organisations, professionals, stakeholders and individuals </w:t>
      </w:r>
      <w:r w:rsidR="00C7514C">
        <w:rPr>
          <w:rFonts w:eastAsia="Times New Roman" w:cstheme="minorHAnsi"/>
          <w:lang w:eastAsia="en-GB"/>
        </w:rPr>
        <w:t xml:space="preserve">referred to </w:t>
      </w:r>
      <w:r w:rsidRPr="006F6E61">
        <w:rPr>
          <w:rFonts w:eastAsia="Times New Roman" w:cstheme="minorHAnsi"/>
          <w:lang w:eastAsia="en-GB"/>
        </w:rPr>
        <w:t>here</w:t>
      </w:r>
      <w:r>
        <w:rPr>
          <w:rFonts w:eastAsia="Times New Roman" w:cstheme="minorHAnsi"/>
          <w:lang w:eastAsia="en-GB"/>
        </w:rPr>
        <w:t>in</w:t>
      </w:r>
      <w:r w:rsidRPr="006F6E61">
        <w:rPr>
          <w:rFonts w:eastAsia="Times New Roman" w:cstheme="minorHAnsi"/>
          <w:lang w:eastAsia="en-GB"/>
        </w:rPr>
        <w:t xml:space="preserve">, would </w:t>
      </w:r>
      <w:r>
        <w:rPr>
          <w:rFonts w:eastAsia="Times New Roman" w:cstheme="minorHAnsi"/>
          <w:lang w:eastAsia="en-GB"/>
        </w:rPr>
        <w:t xml:space="preserve">not only </w:t>
      </w:r>
      <w:r w:rsidRPr="006F6E61">
        <w:rPr>
          <w:rFonts w:eastAsia="Times New Roman" w:cstheme="minorHAnsi"/>
          <w:lang w:eastAsia="en-GB"/>
        </w:rPr>
        <w:t>have to apply Cost Benefit and Cost Effective Analysis Models to safeguard human lives</w:t>
      </w:r>
      <w:r>
        <w:rPr>
          <w:rFonts w:eastAsia="Times New Roman" w:cstheme="minorHAnsi"/>
          <w:lang w:eastAsia="en-GB"/>
        </w:rPr>
        <w:t xml:space="preserve">, </w:t>
      </w:r>
      <w:r w:rsidRPr="006F6E61">
        <w:rPr>
          <w:rFonts w:eastAsia="Times New Roman" w:cstheme="minorHAnsi"/>
          <w:lang w:eastAsia="en-GB"/>
        </w:rPr>
        <w:t>but they would also need to take on board a new continual professional development pathway in behavioural science</w:t>
      </w:r>
      <w:r>
        <w:rPr>
          <w:rFonts w:eastAsia="Times New Roman" w:cstheme="minorHAnsi"/>
          <w:lang w:eastAsia="en-GB"/>
        </w:rPr>
        <w:t xml:space="preserve">, </w:t>
      </w:r>
      <w:r w:rsidRPr="006F6E61">
        <w:rPr>
          <w:rFonts w:eastAsia="Times New Roman" w:cstheme="minorHAnsi"/>
          <w:lang w:eastAsia="en-GB"/>
        </w:rPr>
        <w:t xml:space="preserve">with the </w:t>
      </w:r>
      <w:r w:rsidRPr="006F6E61">
        <w:rPr>
          <w:rFonts w:cstheme="minorHAnsi"/>
          <w:color w:val="000000"/>
          <w:shd w:val="clear" w:color="auto" w:fill="FFFFFF"/>
        </w:rPr>
        <w:t xml:space="preserve">aim to help policy makers develop strategies to improve the overall health and educational wellbeing of </w:t>
      </w:r>
      <w:r>
        <w:rPr>
          <w:rFonts w:cstheme="minorHAnsi"/>
          <w:color w:val="000000"/>
          <w:shd w:val="clear" w:color="auto" w:fill="FFFFFF"/>
        </w:rPr>
        <w:t xml:space="preserve">ALL </w:t>
      </w:r>
      <w:r w:rsidRPr="006F6E61">
        <w:rPr>
          <w:rFonts w:cstheme="minorHAnsi"/>
          <w:color w:val="000000"/>
          <w:shd w:val="clear" w:color="auto" w:fill="FFFFFF"/>
        </w:rPr>
        <w:t>SEND individuals throughout the UK</w:t>
      </w:r>
      <w:r>
        <w:rPr>
          <w:rFonts w:cstheme="minorHAnsi"/>
          <w:color w:val="000000"/>
          <w:shd w:val="clear" w:color="auto" w:fill="FFFFFF"/>
        </w:rPr>
        <w:t xml:space="preserve">, so as to </w:t>
      </w:r>
      <w:r w:rsidR="00C7514C">
        <w:rPr>
          <w:rFonts w:cstheme="minorHAnsi"/>
          <w:color w:val="000000"/>
          <w:shd w:val="clear" w:color="auto" w:fill="FFFFFF"/>
        </w:rPr>
        <w:t>manage</w:t>
      </w:r>
      <w:r>
        <w:rPr>
          <w:rFonts w:cstheme="minorHAnsi"/>
          <w:color w:val="000000"/>
          <w:shd w:val="clear" w:color="auto" w:fill="FFFFFF"/>
        </w:rPr>
        <w:t xml:space="preserve"> the public purse with appropriation. </w:t>
      </w:r>
    </w:p>
    <w:p w14:paraId="27791FA6" w14:textId="77777777" w:rsidR="00A40BEE" w:rsidRPr="006F6E61" w:rsidRDefault="00A40BEE" w:rsidP="00A40BEE">
      <w:pPr>
        <w:shd w:val="clear" w:color="auto" w:fill="FFFFFF" w:themeFill="background1"/>
        <w:spacing w:after="0"/>
        <w:textAlignment w:val="baseline"/>
        <w:rPr>
          <w:rFonts w:cstheme="minorHAnsi"/>
          <w:color w:val="000000"/>
          <w:shd w:val="clear" w:color="auto" w:fill="FFFFFF"/>
        </w:rPr>
      </w:pPr>
    </w:p>
    <w:p w14:paraId="29AB01D3" w14:textId="51889AEB" w:rsidR="00A40BEE" w:rsidRDefault="00A40BEE" w:rsidP="00A40BEE">
      <w:pPr>
        <w:shd w:val="clear" w:color="auto" w:fill="FFFFFF" w:themeFill="background1"/>
        <w:spacing w:after="0"/>
        <w:textAlignment w:val="baseline"/>
      </w:pPr>
      <w:proofErr w:type="spellStart"/>
      <w:r w:rsidRPr="006F6E61">
        <w:rPr>
          <w:rFonts w:cstheme="minorHAnsi"/>
          <w:i/>
          <w:iCs/>
          <w:color w:val="222222"/>
          <w:shd w:val="clear" w:color="auto" w:fill="FFFFFF"/>
        </w:rPr>
        <w:t>Ignorantia</w:t>
      </w:r>
      <w:proofErr w:type="spellEnd"/>
      <w:r w:rsidRPr="006F6E61">
        <w:rPr>
          <w:rFonts w:cstheme="minorHAnsi"/>
          <w:i/>
          <w:iCs/>
          <w:color w:val="222222"/>
          <w:shd w:val="clear" w:color="auto" w:fill="FFFFFF"/>
        </w:rPr>
        <w:t xml:space="preserve"> juris non </w:t>
      </w:r>
      <w:proofErr w:type="spellStart"/>
      <w:r w:rsidRPr="006F6E61">
        <w:rPr>
          <w:rFonts w:cstheme="minorHAnsi"/>
          <w:i/>
          <w:iCs/>
          <w:color w:val="222222"/>
          <w:shd w:val="clear" w:color="auto" w:fill="FFFFFF"/>
        </w:rPr>
        <w:t>excusat</w:t>
      </w:r>
      <w:proofErr w:type="spellEnd"/>
      <w:r w:rsidRPr="006F6E61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F86971" w:rsidRPr="00F86971">
        <w:rPr>
          <w:rFonts w:cstheme="minorHAnsi"/>
          <w:color w:val="222222"/>
          <w:shd w:val="clear" w:color="auto" w:fill="FFFFFF"/>
        </w:rPr>
        <w:t>[</w:t>
      </w:r>
      <w:r w:rsidRPr="006F6E61">
        <w:rPr>
          <w:rFonts w:cstheme="minorHAnsi"/>
          <w:color w:val="222222"/>
          <w:shd w:val="clear" w:color="auto" w:fill="FFFFFF"/>
        </w:rPr>
        <w:t>ignorance of law excuses no one</w:t>
      </w:r>
      <w:r w:rsidR="00F86971">
        <w:rPr>
          <w:rFonts w:cstheme="minorHAnsi"/>
          <w:color w:val="222222"/>
          <w:shd w:val="clear" w:color="auto" w:fill="FFFFFF"/>
        </w:rPr>
        <w:t xml:space="preserve">] ~ </w:t>
      </w:r>
      <w:r w:rsidR="00C7514C" w:rsidRPr="006F6E61">
        <w:rPr>
          <w:rFonts w:cstheme="minorHAnsi"/>
          <w:color w:val="222222"/>
          <w:shd w:val="clear" w:color="auto" w:fill="FFFFFF"/>
        </w:rPr>
        <w:t>Th</w:t>
      </w:r>
      <w:r w:rsidR="004D0DB8">
        <w:rPr>
          <w:rFonts w:cstheme="minorHAnsi"/>
          <w:color w:val="222222"/>
          <w:shd w:val="clear" w:color="auto" w:fill="FFFFFF"/>
        </w:rPr>
        <w:t xml:space="preserve">is </w:t>
      </w:r>
      <w:r w:rsidRPr="006F6E61">
        <w:rPr>
          <w:rFonts w:cstheme="minorHAnsi"/>
          <w:color w:val="222222"/>
          <w:shd w:val="clear" w:color="auto" w:fill="FFFFFF"/>
        </w:rPr>
        <w:t>legal principle detail</w:t>
      </w:r>
      <w:r w:rsidR="004D0DB8">
        <w:rPr>
          <w:rFonts w:cstheme="minorHAnsi"/>
          <w:color w:val="222222"/>
          <w:shd w:val="clear" w:color="auto" w:fill="FFFFFF"/>
        </w:rPr>
        <w:t>s</w:t>
      </w:r>
      <w:r w:rsidRPr="006F6E61">
        <w:rPr>
          <w:rFonts w:cstheme="minorHAnsi"/>
          <w:color w:val="222222"/>
          <w:shd w:val="clear" w:color="auto" w:fill="FFFFFF"/>
        </w:rPr>
        <w:t xml:space="preserve">, that simply being ‘unaware’ of </w:t>
      </w:r>
      <w:r w:rsidR="00F86971">
        <w:rPr>
          <w:rFonts w:cstheme="minorHAnsi"/>
          <w:color w:val="222222"/>
          <w:shd w:val="clear" w:color="auto" w:fill="FFFFFF"/>
        </w:rPr>
        <w:t xml:space="preserve">specific </w:t>
      </w:r>
      <w:r w:rsidRPr="006F6E61">
        <w:rPr>
          <w:rFonts w:cstheme="minorHAnsi"/>
          <w:color w:val="222222"/>
          <w:shd w:val="clear" w:color="auto" w:fill="FFFFFF"/>
        </w:rPr>
        <w:t xml:space="preserve">legislation, is not a means to be set free of </w:t>
      </w:r>
      <w:r w:rsidRPr="00C7514C">
        <w:rPr>
          <w:rFonts w:cstheme="minorHAnsi"/>
          <w:shd w:val="clear" w:color="auto" w:fill="FFFFFF"/>
        </w:rPr>
        <w:t>liability</w:t>
      </w:r>
      <w:r>
        <w:rPr>
          <w:rFonts w:cstheme="minorHAnsi"/>
          <w:shd w:val="clear" w:color="auto" w:fill="FFFFFF"/>
        </w:rPr>
        <w:t xml:space="preserve">, </w:t>
      </w:r>
      <w:r w:rsidRPr="006F6E61">
        <w:rPr>
          <w:rFonts w:cstheme="minorHAnsi"/>
          <w:color w:val="222222"/>
          <w:shd w:val="clear" w:color="auto" w:fill="FFFFFF"/>
        </w:rPr>
        <w:t>for no</w:t>
      </w:r>
      <w:r>
        <w:rPr>
          <w:rFonts w:cstheme="minorHAnsi"/>
          <w:color w:val="222222"/>
          <w:shd w:val="clear" w:color="auto" w:fill="FFFFFF"/>
        </w:rPr>
        <w:t xml:space="preserve">t </w:t>
      </w:r>
      <w:r w:rsidRPr="006F6E61">
        <w:rPr>
          <w:rFonts w:cstheme="minorHAnsi"/>
          <w:color w:val="222222"/>
          <w:shd w:val="clear" w:color="auto" w:fill="FFFFFF"/>
        </w:rPr>
        <w:t xml:space="preserve">enacting </w:t>
      </w:r>
      <w:r w:rsidR="00F86971">
        <w:rPr>
          <w:rFonts w:cstheme="minorHAnsi"/>
          <w:color w:val="222222"/>
          <w:shd w:val="clear" w:color="auto" w:fill="FFFFFF"/>
        </w:rPr>
        <w:t>upon it</w:t>
      </w:r>
      <w:r w:rsidRPr="006F6E61">
        <w:rPr>
          <w:rFonts w:cstheme="minorHAnsi"/>
          <w:color w:val="222222"/>
          <w:shd w:val="clear" w:color="auto" w:fill="FFFFFF"/>
        </w:rPr>
        <w:t>. Therefore, the author</w:t>
      </w:r>
      <w:r>
        <w:rPr>
          <w:rFonts w:cstheme="minorHAnsi"/>
          <w:color w:val="222222"/>
          <w:shd w:val="clear" w:color="auto" w:fill="FFFFFF"/>
        </w:rPr>
        <w:t xml:space="preserve"> calls </w:t>
      </w:r>
      <w:r w:rsidRPr="006F6E61">
        <w:rPr>
          <w:rFonts w:cstheme="minorHAnsi"/>
          <w:color w:val="222222"/>
          <w:shd w:val="clear" w:color="auto" w:fill="FFFFFF"/>
        </w:rPr>
        <w:t xml:space="preserve">for a </w:t>
      </w:r>
      <w:r w:rsidRPr="006F6E61">
        <w:rPr>
          <w:rFonts w:cstheme="minorHAnsi"/>
        </w:rPr>
        <w:t xml:space="preserve">SEND / Educational Accountability Act. </w:t>
      </w:r>
    </w:p>
    <w:p w14:paraId="2071D1D2" w14:textId="1C89D4A8" w:rsidR="00A40BEE" w:rsidRDefault="00A40BEE"/>
    <w:sectPr w:rsidR="00A40BEE" w:rsidSect="003376B8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EE"/>
    <w:rsid w:val="003376B8"/>
    <w:rsid w:val="004D0DB8"/>
    <w:rsid w:val="00885B51"/>
    <w:rsid w:val="00A40BEE"/>
    <w:rsid w:val="00B546BA"/>
    <w:rsid w:val="00C7514C"/>
    <w:rsid w:val="00F8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3D78"/>
  <w15:chartTrackingRefBased/>
  <w15:docId w15:val="{18087684-0DAB-43B8-BC41-C8DCE339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BEE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A40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BE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A4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40B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1-25T08:57:07.17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55 4 14616,'-24'0'0,"17"0"-5312,-1 0 5312,4 0-5312,1-2 5312,-5 0-1192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Willicott</dc:creator>
  <cp:keywords/>
  <dc:description/>
  <cp:lastModifiedBy>Janet Willicott</cp:lastModifiedBy>
  <cp:revision>2</cp:revision>
  <dcterms:created xsi:type="dcterms:W3CDTF">2019-11-22T14:23:00Z</dcterms:created>
  <dcterms:modified xsi:type="dcterms:W3CDTF">2020-03-26T11:53:00Z</dcterms:modified>
</cp:coreProperties>
</file>