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app0.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extended-properties" Target="docProps/app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3CD" w:rsidRDefault="002A6AFF">
      <w:pPr>
        <w:spacing w:after="100"/>
        <w:jc w:val="center"/>
        <w:rPr>
          <w:sz w:val="36"/>
        </w:rPr>
      </w:pPr>
      <w:r>
        <w:rPr>
          <w:sz w:val="36"/>
        </w:rPr>
        <w:t>UNITED STATES</w:t>
      </w:r>
      <w:bookmarkStart w:id="0" w:name="Cover_Page"/>
      <w:bookmarkEnd w:id="0"/>
    </w:p>
    <w:p w:rsidR="00B373CD" w:rsidRDefault="002A6AFF">
      <w:pPr>
        <w:spacing w:before="100" w:after="100"/>
        <w:jc w:val="center"/>
        <w:rPr>
          <w:sz w:val="36"/>
        </w:rPr>
      </w:pPr>
      <w:r>
        <w:rPr>
          <w:sz w:val="36"/>
        </w:rPr>
        <w:t>SECURITIES AND EXCHANGE COMMISSION</w:t>
      </w:r>
    </w:p>
    <w:p w:rsidR="00B373CD" w:rsidRDefault="002A6AFF">
      <w:pPr>
        <w:spacing w:before="100"/>
        <w:jc w:val="center"/>
      </w:pPr>
      <w:r>
        <w:t>Washington, D.C. 20549</w:t>
      </w:r>
    </w:p>
    <w:p w:rsidR="00B373CD" w:rsidRDefault="00B373CD">
      <w:pPr>
        <w:spacing w:before="240" w:after="240"/>
        <w:jc w:val="center"/>
      </w:pPr>
    </w:p>
    <w:p w:rsidR="00B373CD" w:rsidRDefault="002A6AFF">
      <w:pPr>
        <w:spacing w:before="240" w:after="240"/>
        <w:jc w:val="center"/>
        <w:rPr>
          <w:b/>
          <w:sz w:val="36"/>
        </w:rPr>
      </w:pPr>
      <w:r>
        <w:rPr>
          <w:b/>
          <w:sz w:val="36"/>
        </w:rPr>
        <w:t>FORM 8-K</w:t>
      </w:r>
    </w:p>
    <w:p w:rsidR="00B373CD" w:rsidRDefault="002A6AFF">
      <w:pPr>
        <w:jc w:val="center"/>
        <w:rPr>
          <w:sz w:val="26"/>
        </w:rPr>
      </w:pPr>
      <w:r>
        <w:rPr>
          <w:sz w:val="26"/>
        </w:rPr>
        <w:t>CURRENT REPORT</w:t>
      </w:r>
    </w:p>
    <w:p w:rsidR="00B373CD" w:rsidRDefault="002A6AFF">
      <w:pPr>
        <w:jc w:val="center"/>
        <w:rPr>
          <w:sz w:val="26"/>
        </w:rPr>
      </w:pPr>
      <w:r>
        <w:rPr>
          <w:sz w:val="26"/>
        </w:rPr>
        <w:t>PURSUANT TO SECTION 13 OR 15(d) OF THE</w:t>
      </w:r>
    </w:p>
    <w:p w:rsidR="00B373CD" w:rsidRDefault="002A6AFF">
      <w:pPr>
        <w:jc w:val="center"/>
        <w:rPr>
          <w:sz w:val="26"/>
        </w:rPr>
      </w:pPr>
      <w:r>
        <w:rPr>
          <w:sz w:val="26"/>
        </w:rPr>
        <w:t>SECURITIES EXCHANGE ACT OF 1934</w:t>
      </w:r>
    </w:p>
    <w:p w:rsidR="00B373CD" w:rsidRDefault="00B373CD">
      <w:pPr>
        <w:jc w:val="center"/>
      </w:pPr>
    </w:p>
    <w:p w:rsidR="00B373CD" w:rsidRDefault="00B373CD">
      <w:pPr>
        <w:jc w:val="center"/>
      </w:pPr>
    </w:p>
    <w:p w:rsidR="00B373CD" w:rsidRDefault="002A6AFF">
      <w:pPr>
        <w:spacing w:after="240"/>
        <w:jc w:val="center"/>
        <w:rPr>
          <w:sz w:val="26"/>
        </w:rPr>
      </w:pPr>
      <w:r>
        <w:rPr>
          <w:sz w:val="26"/>
        </w:rPr>
        <w:t xml:space="preserve">Date of Report (Date of earliest event reported): </w:t>
      </w:r>
      <w:r w:rsidR="000A643B">
        <w:rPr>
          <w:sz w:val="26"/>
        </w:rPr>
        <w:t xml:space="preserve">June </w:t>
      </w:r>
      <w:r w:rsidR="0074085B">
        <w:rPr>
          <w:sz w:val="26"/>
        </w:rPr>
        <w:t>12</w:t>
      </w:r>
      <w:r>
        <w:rPr>
          <w:sz w:val="26"/>
        </w:rPr>
        <w:t>, 201</w:t>
      </w:r>
      <w:r w:rsidR="009E620E">
        <w:rPr>
          <w:sz w:val="26"/>
        </w:rPr>
        <w:t>9</w:t>
      </w:r>
    </w:p>
    <w:p w:rsidR="00B373CD" w:rsidRDefault="00B373CD">
      <w:pPr>
        <w:jc w:val="both"/>
      </w:pPr>
    </w:p>
    <w:p w:rsidR="00B373CD" w:rsidRDefault="002A6AFF">
      <w:pPr>
        <w:jc w:val="center"/>
        <w:rPr>
          <w:b/>
          <w:sz w:val="34"/>
        </w:rPr>
      </w:pPr>
      <w:r>
        <w:rPr>
          <w:b/>
          <w:sz w:val="34"/>
        </w:rPr>
        <w:t>Micron Solutions, Inc.</w:t>
      </w:r>
    </w:p>
    <w:p w:rsidR="00B373CD" w:rsidRDefault="002A6AFF">
      <w:pPr>
        <w:jc w:val="center"/>
        <w:rPr>
          <w:i/>
          <w:sz w:val="14"/>
        </w:rPr>
      </w:pPr>
      <w:r>
        <w:rPr>
          <w:i/>
          <w:sz w:val="14"/>
        </w:rPr>
        <w:t>(Exact name of registrant as specified in its charter)</w:t>
      </w:r>
    </w:p>
    <w:p w:rsidR="00B373CD" w:rsidRDefault="00B373CD"/>
    <w:p w:rsidR="00B373CD" w:rsidRDefault="00B373CD"/>
    <w:tbl>
      <w:tblPr>
        <w:tblW w:w="5000" w:type="pct"/>
        <w:jc w:val="center"/>
        <w:tblCellMar>
          <w:left w:w="10" w:type="dxa"/>
          <w:right w:w="10" w:type="dxa"/>
        </w:tblCellMar>
        <w:tblLook w:val="0000" w:firstRow="0" w:lastRow="0" w:firstColumn="0" w:lastColumn="0" w:noHBand="0" w:noVBand="0"/>
      </w:tblPr>
      <w:tblGrid>
        <w:gridCol w:w="4051"/>
        <w:gridCol w:w="2068"/>
        <w:gridCol w:w="4121"/>
      </w:tblGrid>
      <w:tr w:rsidR="00B373CD">
        <w:trPr>
          <w:jc w:val="center"/>
        </w:trPr>
        <w:tc>
          <w:tcPr>
            <w:tcW w:w="1978" w:type="pct"/>
            <w:tcBorders>
              <w:top w:val="nil"/>
              <w:left w:val="nil"/>
              <w:bottom w:val="nil"/>
              <w:right w:val="nil"/>
            </w:tcBorders>
            <w:tcMar>
              <w:left w:w="60" w:type="dxa"/>
              <w:right w:w="60" w:type="dxa"/>
            </w:tcMar>
            <w:vAlign w:val="bottom"/>
          </w:tcPr>
          <w:p w:rsidR="00B373CD" w:rsidRDefault="002A6AFF">
            <w:pPr>
              <w:keepLines/>
              <w:spacing w:before="40"/>
              <w:jc w:val="center"/>
              <w:rPr>
                <w:sz w:val="18"/>
              </w:rPr>
            </w:pPr>
            <w:r>
              <w:rPr>
                <w:sz w:val="18"/>
              </w:rPr>
              <w:t>Delaware</w:t>
            </w:r>
          </w:p>
          <w:p w:rsidR="00B373CD" w:rsidRDefault="002A6AFF">
            <w:pPr>
              <w:keepLines/>
              <w:spacing w:after="40"/>
              <w:jc w:val="center"/>
              <w:rPr>
                <w:b/>
                <w:i/>
                <w:sz w:val="14"/>
              </w:rPr>
            </w:pPr>
            <w:r>
              <w:rPr>
                <w:b/>
                <w:i/>
                <w:sz w:val="14"/>
              </w:rPr>
              <w:t>(State or other jurisdiction of Incorporation or organization)</w:t>
            </w:r>
          </w:p>
        </w:tc>
        <w:tc>
          <w:tcPr>
            <w:tcW w:w="1010" w:type="pct"/>
            <w:tcBorders>
              <w:top w:val="nil"/>
              <w:left w:val="nil"/>
              <w:bottom w:val="nil"/>
              <w:right w:val="nil"/>
            </w:tcBorders>
            <w:tcMar>
              <w:left w:w="60" w:type="dxa"/>
              <w:right w:w="60" w:type="dxa"/>
            </w:tcMar>
            <w:vAlign w:val="bottom"/>
          </w:tcPr>
          <w:p w:rsidR="00B373CD" w:rsidRDefault="002A6AFF">
            <w:pPr>
              <w:keepLines/>
              <w:spacing w:before="40"/>
              <w:jc w:val="center"/>
              <w:rPr>
                <w:sz w:val="18"/>
              </w:rPr>
            </w:pPr>
            <w:r>
              <w:rPr>
                <w:sz w:val="18"/>
              </w:rPr>
              <w:t>1-9731</w:t>
            </w:r>
          </w:p>
          <w:p w:rsidR="00B373CD" w:rsidRDefault="002A6AFF">
            <w:pPr>
              <w:keepLines/>
              <w:spacing w:after="40"/>
              <w:jc w:val="center"/>
              <w:rPr>
                <w:b/>
                <w:i/>
                <w:sz w:val="14"/>
              </w:rPr>
            </w:pPr>
            <w:r>
              <w:rPr>
                <w:b/>
                <w:i/>
                <w:sz w:val="14"/>
              </w:rPr>
              <w:t>(Commission File Number)</w:t>
            </w:r>
          </w:p>
        </w:tc>
        <w:tc>
          <w:tcPr>
            <w:tcW w:w="2012" w:type="pct"/>
            <w:tcBorders>
              <w:top w:val="nil"/>
              <w:left w:val="nil"/>
              <w:bottom w:val="nil"/>
              <w:right w:val="nil"/>
            </w:tcBorders>
            <w:tcMar>
              <w:left w:w="60" w:type="dxa"/>
              <w:right w:w="60" w:type="dxa"/>
            </w:tcMar>
            <w:vAlign w:val="bottom"/>
          </w:tcPr>
          <w:p w:rsidR="00B373CD" w:rsidRDefault="002A6AFF">
            <w:pPr>
              <w:keepLines/>
              <w:spacing w:before="40"/>
              <w:jc w:val="center"/>
              <w:rPr>
                <w:sz w:val="18"/>
              </w:rPr>
            </w:pPr>
            <w:r>
              <w:rPr>
                <w:sz w:val="18"/>
              </w:rPr>
              <w:t>72-0925679</w:t>
            </w:r>
          </w:p>
          <w:p w:rsidR="00B373CD" w:rsidRDefault="002A6AFF">
            <w:pPr>
              <w:keepLines/>
              <w:spacing w:after="40"/>
              <w:jc w:val="center"/>
              <w:rPr>
                <w:b/>
                <w:i/>
                <w:sz w:val="14"/>
              </w:rPr>
            </w:pPr>
            <w:r>
              <w:rPr>
                <w:b/>
                <w:i/>
                <w:sz w:val="14"/>
              </w:rPr>
              <w:t>(I.R.S. Employer Identification Number)</w:t>
            </w:r>
          </w:p>
        </w:tc>
      </w:tr>
    </w:tbl>
    <w:p w:rsidR="00B373CD" w:rsidRDefault="00B373CD"/>
    <w:p w:rsidR="00B373CD" w:rsidRDefault="002A6AFF">
      <w:pPr>
        <w:jc w:val="center"/>
        <w:rPr>
          <w:sz w:val="18"/>
        </w:rPr>
      </w:pPr>
      <w:proofErr w:type="gramStart"/>
      <w:r>
        <w:rPr>
          <w:sz w:val="18"/>
        </w:rPr>
        <w:t>25</w:t>
      </w:r>
      <w:proofErr w:type="gramEnd"/>
      <w:r>
        <w:rPr>
          <w:sz w:val="18"/>
        </w:rPr>
        <w:t xml:space="preserve"> Sawyer Passway</w:t>
      </w:r>
    </w:p>
    <w:p w:rsidR="00B373CD" w:rsidRDefault="002A6AFF">
      <w:pPr>
        <w:jc w:val="center"/>
        <w:rPr>
          <w:sz w:val="18"/>
        </w:rPr>
      </w:pPr>
      <w:r>
        <w:rPr>
          <w:sz w:val="18"/>
        </w:rPr>
        <w:t>Fitchburg, MA 01420</w:t>
      </w:r>
    </w:p>
    <w:p w:rsidR="00B373CD" w:rsidRDefault="002A6AFF">
      <w:pPr>
        <w:jc w:val="center"/>
        <w:rPr>
          <w:b/>
          <w:i/>
          <w:sz w:val="14"/>
        </w:rPr>
      </w:pPr>
      <w:r>
        <w:rPr>
          <w:b/>
          <w:i/>
          <w:sz w:val="14"/>
        </w:rPr>
        <w:t>(Address of principal executive offices and zip code)</w:t>
      </w:r>
    </w:p>
    <w:p w:rsidR="00B373CD" w:rsidRDefault="00B373CD">
      <w:pPr>
        <w:jc w:val="center"/>
      </w:pPr>
    </w:p>
    <w:p w:rsidR="00B373CD" w:rsidRDefault="002A6AFF">
      <w:pPr>
        <w:jc w:val="center"/>
        <w:rPr>
          <w:b/>
          <w:sz w:val="18"/>
        </w:rPr>
      </w:pPr>
      <w:r>
        <w:rPr>
          <w:b/>
          <w:sz w:val="18"/>
        </w:rPr>
        <w:t>(978) 345-5000</w:t>
      </w:r>
    </w:p>
    <w:p w:rsidR="00B373CD" w:rsidRDefault="002A6AFF">
      <w:pPr>
        <w:jc w:val="center"/>
        <w:rPr>
          <w:b/>
          <w:i/>
          <w:sz w:val="14"/>
        </w:rPr>
      </w:pPr>
      <w:r>
        <w:rPr>
          <w:b/>
          <w:i/>
          <w:sz w:val="14"/>
        </w:rPr>
        <w:t>(Registrant's telephone number, including area code)</w:t>
      </w:r>
    </w:p>
    <w:p w:rsidR="00B373CD" w:rsidRDefault="00B373CD">
      <w:pPr>
        <w:spacing w:before="240" w:after="120"/>
        <w:jc w:val="center"/>
      </w:pPr>
    </w:p>
    <w:p w:rsidR="00B373CD" w:rsidRDefault="002A6AFF">
      <w:pPr>
        <w:spacing w:after="120"/>
        <w:jc w:val="both"/>
        <w:rPr>
          <w:sz w:val="18"/>
        </w:rPr>
      </w:pPr>
      <w:r>
        <w:rPr>
          <w:sz w:val="18"/>
        </w:rPr>
        <w:t xml:space="preserve">Check the appropriate box below if the Form 8-K filing is intended </w:t>
      </w:r>
      <w:proofErr w:type="gramStart"/>
      <w:r>
        <w:rPr>
          <w:sz w:val="18"/>
        </w:rPr>
        <w:t>to simultaneously satisfy</w:t>
      </w:r>
      <w:proofErr w:type="gramEnd"/>
      <w:r>
        <w:rPr>
          <w:sz w:val="18"/>
        </w:rPr>
        <w:t xml:space="preserve"> the filing obligation of the registrant under any of the following provisions (see General Instruction A.2. below):</w:t>
      </w:r>
    </w:p>
    <w:p w:rsidR="00B373CD" w:rsidRDefault="00B373CD">
      <w:pPr>
        <w:jc w:val="both"/>
      </w:pPr>
    </w:p>
    <w:p w:rsidR="00B373CD" w:rsidRDefault="002A6AFF">
      <w:pPr>
        <w:spacing w:after="120"/>
        <w:jc w:val="both"/>
        <w:rPr>
          <w:sz w:val="18"/>
        </w:rPr>
      </w:pPr>
      <w:r>
        <w:rPr>
          <w:sz w:val="18"/>
        </w:rPr>
        <w:t xml:space="preserve">[  </w:t>
      </w:r>
      <w:proofErr w:type="gramStart"/>
      <w:r>
        <w:rPr>
          <w:sz w:val="18"/>
        </w:rPr>
        <w:t>]  Written</w:t>
      </w:r>
      <w:proofErr w:type="gramEnd"/>
      <w:r>
        <w:rPr>
          <w:sz w:val="18"/>
        </w:rPr>
        <w:t xml:space="preserve"> communications pursuant to Rule 425 under the Securities Act (17 CFR 230.425)</w:t>
      </w:r>
    </w:p>
    <w:p w:rsidR="00B373CD" w:rsidRDefault="002A6AFF">
      <w:pPr>
        <w:spacing w:after="120"/>
        <w:jc w:val="both"/>
        <w:rPr>
          <w:sz w:val="18"/>
        </w:rPr>
      </w:pPr>
      <w:r>
        <w:rPr>
          <w:sz w:val="18"/>
        </w:rPr>
        <w:t xml:space="preserve">[  </w:t>
      </w:r>
      <w:proofErr w:type="gramStart"/>
      <w:r>
        <w:rPr>
          <w:sz w:val="18"/>
        </w:rPr>
        <w:t>]  Soliciting</w:t>
      </w:r>
      <w:proofErr w:type="gramEnd"/>
      <w:r>
        <w:rPr>
          <w:sz w:val="18"/>
        </w:rPr>
        <w:t xml:space="preserve"> material pursuant to Rule 14a-12 under the Exchange Act (17 CFR 240.14a-12)</w:t>
      </w:r>
    </w:p>
    <w:p w:rsidR="00B373CD" w:rsidRDefault="002A6AFF">
      <w:pPr>
        <w:spacing w:after="120"/>
        <w:jc w:val="both"/>
        <w:rPr>
          <w:sz w:val="18"/>
        </w:rPr>
      </w:pPr>
      <w:r>
        <w:rPr>
          <w:sz w:val="18"/>
        </w:rPr>
        <w:t xml:space="preserve">[  </w:t>
      </w:r>
      <w:proofErr w:type="gramStart"/>
      <w:r>
        <w:rPr>
          <w:sz w:val="18"/>
        </w:rPr>
        <w:t>]  Pre</w:t>
      </w:r>
      <w:proofErr w:type="gramEnd"/>
      <w:r>
        <w:rPr>
          <w:sz w:val="18"/>
        </w:rPr>
        <w:t>-commencement communications pursuant to Rule 14d-2(b) under the Exchange Act (17 CFR 240.14d-2(b))</w:t>
      </w:r>
    </w:p>
    <w:p w:rsidR="00B373CD" w:rsidRDefault="002A6AFF">
      <w:pPr>
        <w:jc w:val="both"/>
        <w:rPr>
          <w:sz w:val="18"/>
        </w:rPr>
      </w:pPr>
      <w:r>
        <w:rPr>
          <w:sz w:val="18"/>
        </w:rPr>
        <w:t xml:space="preserve">[  </w:t>
      </w:r>
      <w:proofErr w:type="gramStart"/>
      <w:r>
        <w:rPr>
          <w:sz w:val="18"/>
        </w:rPr>
        <w:t>]  Pre</w:t>
      </w:r>
      <w:proofErr w:type="gramEnd"/>
      <w:r>
        <w:rPr>
          <w:sz w:val="18"/>
        </w:rPr>
        <w:t>-commencement communications pursuant to Rule 13e-4(c) under the Exchange Act (17 CFR 240.13e-4(c))</w:t>
      </w:r>
    </w:p>
    <w:p w:rsidR="00B373CD" w:rsidRDefault="00B373CD">
      <w:bookmarkStart w:id="1" w:name="Item_2_02"/>
      <w:bookmarkEnd w:id="1"/>
    </w:p>
    <w:p w:rsidR="002F578E" w:rsidRPr="002F578E" w:rsidRDefault="002F578E" w:rsidP="005262FD">
      <w:pPr>
        <w:pStyle w:val="NormalWeb"/>
        <w:spacing w:before="0" w:beforeAutospacing="0" w:after="0" w:afterAutospacing="0" w:line="288" w:lineRule="auto"/>
        <w:ind w:left="2160" w:firstLine="720"/>
        <w:rPr>
          <w:sz w:val="18"/>
          <w:szCs w:val="18"/>
        </w:rPr>
      </w:pPr>
      <w:bookmarkStart w:id="2" w:name="_GoBack"/>
      <w:bookmarkEnd w:id="2"/>
      <w:r w:rsidRPr="002F578E">
        <w:rPr>
          <w:b/>
          <w:bCs/>
          <w:iCs/>
          <w:sz w:val="18"/>
          <w:szCs w:val="18"/>
        </w:rPr>
        <w:t>Securities registered pursuant to Section 12(b) of the Act:</w:t>
      </w:r>
      <w:r w:rsidRPr="002F578E">
        <w:rPr>
          <w:sz w:val="18"/>
          <w:szCs w:val="18"/>
        </w:rPr>
        <w:t xml:space="preserve"> </w:t>
      </w:r>
    </w:p>
    <w:p w:rsidR="002F578E" w:rsidRDefault="002F578E" w:rsidP="002F578E">
      <w:pPr>
        <w:pStyle w:val="NormalWeb"/>
        <w:spacing w:before="0" w:beforeAutospacing="0" w:after="0" w:afterAutospacing="0" w:line="288" w:lineRule="auto"/>
        <w:rPr>
          <w:b/>
          <w:bCs/>
          <w:iCs/>
          <w:sz w:val="18"/>
          <w:szCs w:val="18"/>
        </w:rPr>
      </w:pPr>
    </w:p>
    <w:p w:rsidR="002F578E" w:rsidRPr="002F578E" w:rsidRDefault="002F578E" w:rsidP="005262FD">
      <w:pPr>
        <w:pStyle w:val="NormalWeb"/>
        <w:spacing w:before="0" w:beforeAutospacing="0" w:after="0" w:afterAutospacing="0" w:line="288" w:lineRule="auto"/>
        <w:ind w:firstLine="720"/>
        <w:rPr>
          <w:sz w:val="18"/>
          <w:szCs w:val="18"/>
        </w:rPr>
      </w:pPr>
      <w:r w:rsidRPr="002F578E">
        <w:rPr>
          <w:b/>
          <w:bCs/>
          <w:iCs/>
          <w:sz w:val="18"/>
          <w:szCs w:val="18"/>
        </w:rPr>
        <w:t>Title of each class         </w:t>
      </w:r>
      <w:r>
        <w:rPr>
          <w:b/>
          <w:bCs/>
          <w:iCs/>
          <w:sz w:val="18"/>
          <w:szCs w:val="18"/>
        </w:rPr>
        <w:tab/>
      </w:r>
      <w:r w:rsidRPr="002F578E">
        <w:rPr>
          <w:b/>
          <w:bCs/>
          <w:iCs/>
          <w:sz w:val="18"/>
          <w:szCs w:val="18"/>
        </w:rPr>
        <w:t xml:space="preserve"> </w:t>
      </w:r>
      <w:r>
        <w:rPr>
          <w:b/>
          <w:bCs/>
          <w:iCs/>
          <w:sz w:val="18"/>
          <w:szCs w:val="18"/>
        </w:rPr>
        <w:tab/>
      </w:r>
      <w:r>
        <w:rPr>
          <w:b/>
          <w:bCs/>
          <w:iCs/>
          <w:sz w:val="18"/>
          <w:szCs w:val="18"/>
        </w:rPr>
        <w:tab/>
      </w:r>
      <w:proofErr w:type="gramStart"/>
      <w:r w:rsidRPr="002F578E">
        <w:rPr>
          <w:b/>
          <w:bCs/>
          <w:iCs/>
          <w:sz w:val="18"/>
          <w:szCs w:val="18"/>
        </w:rPr>
        <w:t>Trading</w:t>
      </w:r>
      <w:proofErr w:type="gramEnd"/>
      <w:r w:rsidRPr="002F578E">
        <w:rPr>
          <w:b/>
          <w:bCs/>
          <w:iCs/>
          <w:sz w:val="18"/>
          <w:szCs w:val="18"/>
        </w:rPr>
        <w:t xml:space="preserve"> symbol          </w:t>
      </w:r>
      <w:r>
        <w:rPr>
          <w:b/>
          <w:bCs/>
          <w:iCs/>
          <w:sz w:val="18"/>
          <w:szCs w:val="18"/>
        </w:rPr>
        <w:tab/>
      </w:r>
      <w:r w:rsidRPr="002F578E">
        <w:rPr>
          <w:b/>
          <w:bCs/>
          <w:iCs/>
          <w:sz w:val="18"/>
          <w:szCs w:val="18"/>
        </w:rPr>
        <w:t>Name of each exchange on which registered</w:t>
      </w:r>
      <w:r w:rsidRPr="002F578E">
        <w:rPr>
          <w:sz w:val="18"/>
          <w:szCs w:val="18"/>
        </w:rPr>
        <w:t xml:space="preserve"> </w:t>
      </w:r>
    </w:p>
    <w:p w:rsidR="002F578E" w:rsidRPr="002F578E" w:rsidRDefault="002F578E" w:rsidP="005262FD">
      <w:pPr>
        <w:pStyle w:val="NormalWeb"/>
        <w:spacing w:before="0" w:beforeAutospacing="0" w:after="0" w:afterAutospacing="0" w:line="288" w:lineRule="auto"/>
        <w:ind w:firstLine="720"/>
        <w:rPr>
          <w:sz w:val="18"/>
          <w:szCs w:val="18"/>
        </w:rPr>
      </w:pPr>
      <w:r w:rsidRPr="002F578E">
        <w:rPr>
          <w:b/>
          <w:bCs/>
          <w:iCs/>
          <w:sz w:val="18"/>
          <w:szCs w:val="18"/>
        </w:rPr>
        <w:t>Common Stock, $0.01 par value                            MICR          </w:t>
      </w:r>
      <w:r>
        <w:rPr>
          <w:b/>
          <w:bCs/>
          <w:iCs/>
          <w:sz w:val="18"/>
          <w:szCs w:val="18"/>
        </w:rPr>
        <w:tab/>
      </w:r>
      <w:r w:rsidRPr="002F578E">
        <w:rPr>
          <w:b/>
          <w:bCs/>
          <w:iCs/>
          <w:sz w:val="18"/>
          <w:szCs w:val="18"/>
        </w:rPr>
        <w:t>                      New York Stock Exchange</w:t>
      </w:r>
      <w:r w:rsidRPr="002F578E">
        <w:rPr>
          <w:sz w:val="18"/>
          <w:szCs w:val="18"/>
        </w:rPr>
        <w:t xml:space="preserve"> </w:t>
      </w:r>
    </w:p>
    <w:p w:rsidR="002F578E" w:rsidRPr="002F578E" w:rsidRDefault="002F578E" w:rsidP="002F578E">
      <w:pPr>
        <w:pStyle w:val="NormalWeb"/>
        <w:spacing w:before="0" w:beforeAutospacing="0" w:after="0" w:afterAutospacing="0"/>
        <w:jc w:val="center"/>
        <w:rPr>
          <w:sz w:val="14"/>
          <w:szCs w:val="14"/>
        </w:rPr>
      </w:pPr>
      <w:r w:rsidRPr="002F578E">
        <w:rPr>
          <w:iCs/>
          <w:sz w:val="14"/>
          <w:szCs w:val="14"/>
        </w:rPr>
        <w:t>﻿</w:t>
      </w:r>
      <w:r w:rsidRPr="002F578E">
        <w:rPr>
          <w:sz w:val="14"/>
          <w:szCs w:val="14"/>
        </w:rPr>
        <w:t xml:space="preserve"> </w:t>
      </w:r>
    </w:p>
    <w:p w:rsidR="002F578E" w:rsidRDefault="002F578E" w:rsidP="002F578E">
      <w:pPr>
        <w:pStyle w:val="NormalWeb"/>
        <w:spacing w:before="0" w:beforeAutospacing="0" w:after="0" w:afterAutospacing="0"/>
        <w:jc w:val="center"/>
        <w:rPr>
          <w:sz w:val="14"/>
          <w:szCs w:val="14"/>
        </w:rPr>
      </w:pPr>
      <w:r>
        <w:rPr>
          <w:i/>
          <w:iCs/>
          <w:sz w:val="14"/>
          <w:szCs w:val="14"/>
        </w:rPr>
        <w:t>﻿</w:t>
      </w:r>
      <w:r>
        <w:rPr>
          <w:sz w:val="14"/>
          <w:szCs w:val="14"/>
        </w:rPr>
        <w:t xml:space="preserve"> </w:t>
      </w:r>
    </w:p>
    <w:p w:rsidR="00B373CD" w:rsidRDefault="002A6AFF">
      <w:pPr>
        <w:rPr>
          <w:sz w:val="18"/>
          <w:szCs w:val="18"/>
        </w:rPr>
      </w:pPr>
      <w:r>
        <w:rPr>
          <w:sz w:val="18"/>
          <w:szCs w:val="18"/>
        </w:rPr>
        <w:t>Indicate by check mark whether the registrant is an emerging growth company as deﬁned in Rule 405 of the Securities Act of 1933 (§230.405 of this chapter) or Rule 12b-2 of the Securities Exchange Act of 1934 (§240.12b-2 of this chapter).</w:t>
      </w:r>
    </w:p>
    <w:p w:rsidR="00B373CD" w:rsidRDefault="00B373CD">
      <w:pPr>
        <w:jc w:val="both"/>
        <w:rPr>
          <w:sz w:val="18"/>
          <w:szCs w:val="18"/>
        </w:rPr>
      </w:pPr>
    </w:p>
    <w:p w:rsidR="00B373CD" w:rsidRDefault="002A6AFF">
      <w:pPr>
        <w:ind w:right="720"/>
        <w:jc w:val="right"/>
        <w:rPr>
          <w:sz w:val="18"/>
          <w:szCs w:val="18"/>
        </w:rPr>
      </w:pPr>
      <w:r>
        <w:rPr>
          <w:sz w:val="18"/>
          <w:szCs w:val="18"/>
        </w:rPr>
        <w:t>Emerging growth company  </w:t>
      </w:r>
      <w:r>
        <w:rPr>
          <w:sz w:val="18"/>
          <w:szCs w:val="18"/>
        </w:rPr>
        <w:sym w:font="Wingdings" w:char="F0A8"/>
      </w:r>
    </w:p>
    <w:p w:rsidR="00B373CD" w:rsidRDefault="00B373CD">
      <w:pPr>
        <w:ind w:left="5760" w:firstLine="720"/>
        <w:rPr>
          <w:sz w:val="18"/>
          <w:szCs w:val="18"/>
        </w:rPr>
      </w:pPr>
    </w:p>
    <w:p w:rsidR="00B373CD" w:rsidRDefault="002A6AFF">
      <w:pPr>
        <w:rPr>
          <w:kern w:val="0"/>
          <w:sz w:val="18"/>
          <w:szCs w:val="18"/>
        </w:rPr>
      </w:pPr>
      <w:r>
        <w:rPr>
          <w:kern w:val="0"/>
          <w:sz w:val="18"/>
          <w:szCs w:val="18"/>
        </w:rPr>
        <w:t>If an emerging growth company, indicate by check mark if the registrant has elected not to use the extended transition period for complying with any new or revised ﬁnancial accounting standards provided pursuant to Section 13(a) of the Exchange Act. </w:t>
      </w:r>
      <w:r>
        <w:rPr>
          <w:kern w:val="0"/>
          <w:sz w:val="18"/>
          <w:szCs w:val="18"/>
        </w:rPr>
        <w:sym w:font="Wingdings" w:char="F0A8"/>
      </w:r>
    </w:p>
    <w:p w:rsidR="00B373CD" w:rsidRDefault="002A6AFF">
      <w:pPr>
        <w:rPr>
          <w:kern w:val="0"/>
          <w:sz w:val="18"/>
          <w:szCs w:val="18"/>
        </w:rPr>
      </w:pPr>
      <w:r>
        <w:rPr>
          <w:kern w:val="0"/>
          <w:sz w:val="18"/>
          <w:szCs w:val="18"/>
        </w:rPr>
        <w:br w:type="page"/>
      </w:r>
    </w:p>
    <w:p w:rsidR="00050115" w:rsidRDefault="00FF6F3F">
      <w:pPr>
        <w:widowControl w:val="0"/>
        <w:autoSpaceDE w:val="0"/>
        <w:autoSpaceDN w:val="0"/>
        <w:adjustRightInd w:val="0"/>
        <w:rPr>
          <w:b/>
          <w:bCs/>
        </w:rPr>
      </w:pPr>
      <w:r>
        <w:rPr>
          <w:b/>
          <w:bCs/>
        </w:rPr>
        <w:lastRenderedPageBreak/>
        <w:t>Item 1.01</w:t>
      </w:r>
      <w:r w:rsidR="002F578E">
        <w:rPr>
          <w:b/>
          <w:bCs/>
        </w:rPr>
        <w:tab/>
        <w:t>Entry into Material Definitive Agreement</w:t>
      </w:r>
    </w:p>
    <w:p w:rsidR="00FF6F3F" w:rsidRDefault="00FF6F3F">
      <w:pPr>
        <w:widowControl w:val="0"/>
        <w:autoSpaceDE w:val="0"/>
        <w:autoSpaceDN w:val="0"/>
        <w:adjustRightInd w:val="0"/>
        <w:rPr>
          <w:b/>
          <w:bCs/>
        </w:rPr>
      </w:pPr>
    </w:p>
    <w:p w:rsidR="00FF6F3F" w:rsidRDefault="00FF6F3F" w:rsidP="00FF6F3F">
      <w:pPr>
        <w:pStyle w:val="NormalWeb"/>
        <w:spacing w:before="0" w:beforeAutospacing="0" w:after="0" w:afterAutospacing="0"/>
        <w:ind w:firstLine="720"/>
        <w:jc w:val="both"/>
        <w:rPr>
          <w:color w:val="000000"/>
          <w:sz w:val="20"/>
          <w:szCs w:val="20"/>
        </w:rPr>
      </w:pPr>
      <w:r>
        <w:rPr>
          <w:color w:val="000000"/>
          <w:sz w:val="20"/>
          <w:szCs w:val="20"/>
        </w:rPr>
        <w:t xml:space="preserve">In December 2015, </w:t>
      </w:r>
      <w:r w:rsidR="00737361" w:rsidRPr="00737361">
        <w:rPr>
          <w:color w:val="000000"/>
          <w:sz w:val="20"/>
          <w:szCs w:val="20"/>
        </w:rPr>
        <w:t>Micron Solutions, Inc.</w:t>
      </w:r>
      <w:r w:rsidR="00737361">
        <w:rPr>
          <w:color w:val="000000"/>
          <w:sz w:val="20"/>
          <w:szCs w:val="20"/>
        </w:rPr>
        <w:t xml:space="preserve"> (</w:t>
      </w:r>
      <w:r>
        <w:rPr>
          <w:color w:val="000000"/>
          <w:sz w:val="20"/>
          <w:szCs w:val="20"/>
        </w:rPr>
        <w:t xml:space="preserve">the </w:t>
      </w:r>
      <w:r w:rsidR="00737361">
        <w:rPr>
          <w:color w:val="000000"/>
          <w:sz w:val="20"/>
          <w:szCs w:val="20"/>
        </w:rPr>
        <w:t>“</w:t>
      </w:r>
      <w:r>
        <w:rPr>
          <w:color w:val="000000"/>
          <w:sz w:val="20"/>
          <w:szCs w:val="20"/>
        </w:rPr>
        <w:t>Company</w:t>
      </w:r>
      <w:r w:rsidR="00737361">
        <w:rPr>
          <w:color w:val="000000"/>
          <w:sz w:val="20"/>
          <w:szCs w:val="20"/>
        </w:rPr>
        <w:t>”)</w:t>
      </w:r>
      <w:r>
        <w:rPr>
          <w:color w:val="000000"/>
          <w:sz w:val="20"/>
          <w:szCs w:val="20"/>
        </w:rPr>
        <w:t xml:space="preserve"> entered into a Letter of Intent with a Buyer (collectively the “Parties”) to sell two unoccupied buildings, with a total of approximately 52,000 square feet, and land, at its Fitchburg, Massachusetts campus.  Subsequently, in January 2016, the Parties entered into a Purchase and Sale Agreement (“Agreement”) for this real estate to close within twelve months from the date of the Agreement. </w:t>
      </w:r>
      <w:r w:rsidR="00737361">
        <w:rPr>
          <w:color w:val="000000"/>
          <w:sz w:val="20"/>
          <w:szCs w:val="20"/>
        </w:rPr>
        <w:t xml:space="preserve"> </w:t>
      </w:r>
      <w:r>
        <w:rPr>
          <w:color w:val="000000"/>
          <w:sz w:val="20"/>
          <w:szCs w:val="20"/>
        </w:rPr>
        <w:t>In December 2016, the Parties entered into a First Amendment to the Purchase and Sale Agreement (the “First Amendment”).  The First Amendment extended the time to close to January 1</w:t>
      </w:r>
      <w:r w:rsidR="00737361">
        <w:rPr>
          <w:color w:val="000000"/>
          <w:sz w:val="20"/>
          <w:szCs w:val="20"/>
        </w:rPr>
        <w:t>3</w:t>
      </w:r>
      <w:r>
        <w:rPr>
          <w:color w:val="000000"/>
          <w:sz w:val="20"/>
          <w:szCs w:val="20"/>
        </w:rPr>
        <w:t>, 2018.  </w:t>
      </w:r>
      <w:proofErr w:type="gramStart"/>
      <w:r>
        <w:rPr>
          <w:color w:val="000000"/>
          <w:sz w:val="20"/>
          <w:szCs w:val="20"/>
        </w:rPr>
        <w:t>As consideration for extending the Agreement, the Buyer agreed to (</w:t>
      </w:r>
      <w:proofErr w:type="spellStart"/>
      <w:r>
        <w:rPr>
          <w:color w:val="000000"/>
          <w:sz w:val="20"/>
          <w:szCs w:val="20"/>
        </w:rPr>
        <w:t>i</w:t>
      </w:r>
      <w:proofErr w:type="spellEnd"/>
      <w:r>
        <w:rPr>
          <w:color w:val="000000"/>
          <w:sz w:val="20"/>
          <w:szCs w:val="20"/>
        </w:rPr>
        <w:t>) release the $25,000 being held as a deposit to the Company; (ii) increase the purchase price by $25,000; (iii) pay the Company $4,000 per month as an extension fee beginning in January 2017 through January 2018,  or the culmination of the Agreement, and (iv) pay the Company $7,500 per month for a 150 day additional extension, to June 2018, only for the purpose of the Buyer securing historical tax credits until the termination or culmination of the Agreement.  </w:t>
      </w:r>
      <w:proofErr w:type="gramEnd"/>
      <w:r>
        <w:rPr>
          <w:color w:val="000000"/>
          <w:sz w:val="20"/>
          <w:szCs w:val="20"/>
        </w:rPr>
        <w:t>In January 2017, the Parties entered into a Second Amendment to the Purchase and Sale Agreement (the “Second Amendment”).  The Second Amendment (</w:t>
      </w:r>
      <w:proofErr w:type="spellStart"/>
      <w:r>
        <w:rPr>
          <w:color w:val="000000"/>
          <w:sz w:val="20"/>
          <w:szCs w:val="20"/>
        </w:rPr>
        <w:t>i</w:t>
      </w:r>
      <w:proofErr w:type="spellEnd"/>
      <w:r>
        <w:rPr>
          <w:color w:val="000000"/>
          <w:sz w:val="20"/>
          <w:szCs w:val="20"/>
        </w:rPr>
        <w:t>) permits the Buyer to assign the Agreement to a third party; (ii) extends the term of the $4,000  per month extension fee from January 2018 to</w:t>
      </w:r>
      <w:r w:rsidR="0074085B">
        <w:rPr>
          <w:color w:val="000000"/>
          <w:sz w:val="20"/>
          <w:szCs w:val="20"/>
        </w:rPr>
        <w:t xml:space="preserve"> March 2018 and (iii) </w:t>
      </w:r>
      <w:r w:rsidR="00AE23DB">
        <w:rPr>
          <w:color w:val="000000"/>
          <w:sz w:val="20"/>
          <w:szCs w:val="20"/>
        </w:rPr>
        <w:t>amend</w:t>
      </w:r>
      <w:r>
        <w:rPr>
          <w:color w:val="000000"/>
          <w:sz w:val="20"/>
          <w:szCs w:val="20"/>
        </w:rPr>
        <w:t>s the term of the additional extension fee o</w:t>
      </w:r>
      <w:r w:rsidR="001841FA">
        <w:rPr>
          <w:color w:val="000000"/>
          <w:sz w:val="20"/>
          <w:szCs w:val="20"/>
        </w:rPr>
        <w:t>f $7,500 per month to April 2019 through June 2019</w:t>
      </w:r>
      <w:r>
        <w:rPr>
          <w:color w:val="000000"/>
          <w:sz w:val="20"/>
          <w:szCs w:val="20"/>
        </w:rPr>
        <w:t xml:space="preserve">.   </w:t>
      </w:r>
      <w:r w:rsidR="00AE23DB">
        <w:rPr>
          <w:color w:val="000000"/>
          <w:sz w:val="20"/>
          <w:szCs w:val="20"/>
        </w:rPr>
        <w:t>The Parties anticipate closing on the sale on or around June 30, 2019. The Company expects its proceeds for the sale to be approximately $685,000.</w:t>
      </w:r>
    </w:p>
    <w:p w:rsidR="00FF6F3F" w:rsidRPr="00AE23DB" w:rsidRDefault="00FF6F3F" w:rsidP="00AE23DB">
      <w:pPr>
        <w:pStyle w:val="NormalWeb"/>
        <w:spacing w:before="0" w:beforeAutospacing="0" w:after="0" w:afterAutospacing="0"/>
        <w:ind w:firstLine="720"/>
        <w:jc w:val="both"/>
        <w:rPr>
          <w:color w:val="000000"/>
          <w:sz w:val="20"/>
          <w:szCs w:val="20"/>
        </w:rPr>
      </w:pPr>
      <w:r>
        <w:rPr>
          <w:color w:val="000000"/>
          <w:sz w:val="20"/>
          <w:szCs w:val="20"/>
        </w:rPr>
        <w:t xml:space="preserve">﻿ </w:t>
      </w:r>
      <w:r>
        <w:rPr>
          <w:color w:val="000000"/>
          <w:sz w:val="16"/>
          <w:szCs w:val="16"/>
        </w:rPr>
        <w:t xml:space="preserve">  </w:t>
      </w:r>
    </w:p>
    <w:p w:rsidR="00050115" w:rsidRDefault="00050115">
      <w:pPr>
        <w:widowControl w:val="0"/>
        <w:autoSpaceDE w:val="0"/>
        <w:autoSpaceDN w:val="0"/>
        <w:adjustRightInd w:val="0"/>
        <w:rPr>
          <w:b/>
          <w:bCs/>
        </w:rPr>
      </w:pPr>
    </w:p>
    <w:tbl>
      <w:tblPr>
        <w:tblW w:w="5000" w:type="pct"/>
        <w:tblCellMar>
          <w:left w:w="0" w:type="dxa"/>
          <w:right w:w="0" w:type="dxa"/>
        </w:tblCellMar>
        <w:tblLook w:val="04A0" w:firstRow="1" w:lastRow="0" w:firstColumn="1" w:lastColumn="0" w:noHBand="0" w:noVBand="1"/>
      </w:tblPr>
      <w:tblGrid>
        <w:gridCol w:w="1440"/>
        <w:gridCol w:w="8800"/>
      </w:tblGrid>
      <w:tr w:rsidR="00AF3649" w:rsidRPr="00AF3649" w:rsidTr="00AF3649">
        <w:tc>
          <w:tcPr>
            <w:tcW w:w="1440" w:type="dxa"/>
            <w:shd w:val="clear" w:color="auto" w:fill="auto"/>
            <w:hideMark/>
          </w:tcPr>
          <w:p w:rsidR="00AF3649" w:rsidRPr="00AF3649" w:rsidRDefault="00AF3649" w:rsidP="00AF3649">
            <w:pPr>
              <w:rPr>
                <w:color w:val="333333"/>
                <w:kern w:val="0"/>
              </w:rPr>
            </w:pPr>
            <w:r w:rsidRPr="00AF3649">
              <w:rPr>
                <w:b/>
                <w:bCs/>
                <w:color w:val="333333"/>
                <w:kern w:val="0"/>
              </w:rPr>
              <w:t>Item 3.01</w:t>
            </w:r>
          </w:p>
        </w:tc>
        <w:tc>
          <w:tcPr>
            <w:tcW w:w="0" w:type="auto"/>
            <w:shd w:val="clear" w:color="auto" w:fill="auto"/>
            <w:hideMark/>
          </w:tcPr>
          <w:p w:rsidR="00AF3649" w:rsidRPr="00AF3649" w:rsidRDefault="00AF3649" w:rsidP="00AF3649">
            <w:pPr>
              <w:rPr>
                <w:color w:val="333333"/>
                <w:kern w:val="0"/>
              </w:rPr>
            </w:pPr>
            <w:r w:rsidRPr="00AF3649">
              <w:rPr>
                <w:b/>
                <w:bCs/>
                <w:color w:val="333333"/>
                <w:kern w:val="0"/>
              </w:rPr>
              <w:t xml:space="preserve">Notice of Delisting or Failure to Satisfy a Continued Listing Rule or Standard; Transfer of Listing. </w:t>
            </w:r>
          </w:p>
        </w:tc>
      </w:tr>
    </w:tbl>
    <w:p w:rsidR="00AF3649" w:rsidRPr="00AF3649" w:rsidRDefault="00AF3649" w:rsidP="00AF3649">
      <w:pPr>
        <w:shd w:val="clear" w:color="auto" w:fill="FFFFFF"/>
        <w:jc w:val="both"/>
        <w:rPr>
          <w:color w:val="333333"/>
          <w:kern w:val="0"/>
        </w:rPr>
      </w:pPr>
      <w:r w:rsidRPr="00AF3649">
        <w:rPr>
          <w:color w:val="333333"/>
          <w:kern w:val="0"/>
        </w:rPr>
        <w:t> </w:t>
      </w:r>
    </w:p>
    <w:p w:rsidR="0014657B" w:rsidRDefault="00AF3649" w:rsidP="00737361">
      <w:pPr>
        <w:shd w:val="clear" w:color="auto" w:fill="FFFFFF"/>
        <w:ind w:firstLine="720"/>
        <w:jc w:val="both"/>
        <w:rPr>
          <w:color w:val="333333"/>
          <w:kern w:val="0"/>
        </w:rPr>
      </w:pPr>
      <w:r w:rsidRPr="00AF3649">
        <w:rPr>
          <w:color w:val="333333"/>
          <w:kern w:val="0"/>
        </w:rPr>
        <w:t xml:space="preserve">On </w:t>
      </w:r>
      <w:r>
        <w:rPr>
          <w:color w:val="333333"/>
          <w:kern w:val="0"/>
        </w:rPr>
        <w:t xml:space="preserve">June 12, 2019, </w:t>
      </w:r>
      <w:r w:rsidR="00AE23DB">
        <w:rPr>
          <w:color w:val="333333"/>
          <w:kern w:val="0"/>
        </w:rPr>
        <w:t xml:space="preserve">the </w:t>
      </w:r>
      <w:r w:rsidRPr="00AF3649">
        <w:rPr>
          <w:color w:val="333333"/>
          <w:kern w:val="0"/>
        </w:rPr>
        <w:t xml:space="preserve">Company </w:t>
      </w:r>
      <w:r>
        <w:rPr>
          <w:color w:val="333333"/>
          <w:kern w:val="0"/>
        </w:rPr>
        <w:t xml:space="preserve">received a letter from the NYSE </w:t>
      </w:r>
      <w:r w:rsidRPr="00AF3649">
        <w:rPr>
          <w:color w:val="333333"/>
          <w:kern w:val="0"/>
        </w:rPr>
        <w:t>American LLC (the “NYSE American”</w:t>
      </w:r>
      <w:r>
        <w:rPr>
          <w:color w:val="333333"/>
          <w:kern w:val="0"/>
        </w:rPr>
        <w:t xml:space="preserve"> or the “Exchange”</w:t>
      </w:r>
      <w:r w:rsidRPr="00AF3649">
        <w:rPr>
          <w:color w:val="333333"/>
          <w:kern w:val="0"/>
        </w:rPr>
        <w:t xml:space="preserve">) </w:t>
      </w:r>
      <w:r>
        <w:rPr>
          <w:color w:val="333333"/>
          <w:kern w:val="0"/>
        </w:rPr>
        <w:t xml:space="preserve">stating that it is not in compliance with the continued listing standards as set forth in Section </w:t>
      </w:r>
      <w:r w:rsidR="00AE23DB">
        <w:rPr>
          <w:color w:val="333333"/>
          <w:kern w:val="0"/>
        </w:rPr>
        <w:t>1003(a)(ii)</w:t>
      </w:r>
      <w:r>
        <w:rPr>
          <w:color w:val="333333"/>
          <w:kern w:val="0"/>
        </w:rPr>
        <w:t xml:space="preserve"> of the NYSE American </w:t>
      </w:r>
      <w:r w:rsidRPr="00AF3649">
        <w:rPr>
          <w:color w:val="333333"/>
          <w:kern w:val="0"/>
        </w:rPr>
        <w:t>Company</w:t>
      </w:r>
      <w:r>
        <w:rPr>
          <w:color w:val="333333"/>
          <w:kern w:val="0"/>
        </w:rPr>
        <w:t xml:space="preserve"> Guide </w:t>
      </w:r>
      <w:r w:rsidRPr="00AF3649">
        <w:rPr>
          <w:color w:val="333333"/>
          <w:kern w:val="0"/>
        </w:rPr>
        <w:t xml:space="preserve">(the “Company Guide”). </w:t>
      </w:r>
      <w:r>
        <w:rPr>
          <w:color w:val="333333"/>
          <w:kern w:val="0"/>
        </w:rPr>
        <w:t xml:space="preserve">In order to maintain its listing, the Company must submit a plan of compliance by July 12, 2019 addressing how it intends to regain compliance with </w:t>
      </w:r>
      <w:r w:rsidR="00AE23DB">
        <w:rPr>
          <w:color w:val="333333"/>
          <w:kern w:val="0"/>
        </w:rPr>
        <w:t>Section 1003(a</w:t>
      </w:r>
      <w:proofErr w:type="gramStart"/>
      <w:r w:rsidR="00AE23DB">
        <w:rPr>
          <w:color w:val="333333"/>
          <w:kern w:val="0"/>
        </w:rPr>
        <w:t>)(</w:t>
      </w:r>
      <w:proofErr w:type="gramEnd"/>
      <w:r w:rsidR="00AE23DB">
        <w:rPr>
          <w:color w:val="333333"/>
          <w:kern w:val="0"/>
        </w:rPr>
        <w:t>ii)</w:t>
      </w:r>
      <w:r>
        <w:rPr>
          <w:color w:val="333333"/>
          <w:kern w:val="0"/>
        </w:rPr>
        <w:t xml:space="preserve"> of the Company Guide by December 12, 2020. If the plan is accepted, the Company may be able to continue its listing but will be subject to periodic reviews by the Exchange. If the plan is not accepted or if it is accepted but the Company </w:t>
      </w:r>
      <w:proofErr w:type="gramStart"/>
      <w:r>
        <w:rPr>
          <w:color w:val="333333"/>
          <w:kern w:val="0"/>
        </w:rPr>
        <w:t>is not in compliance</w:t>
      </w:r>
      <w:proofErr w:type="gramEnd"/>
      <w:r>
        <w:rPr>
          <w:color w:val="333333"/>
          <w:kern w:val="0"/>
        </w:rPr>
        <w:t xml:space="preserve"> with the continued listing standards by </w:t>
      </w:r>
      <w:r w:rsidR="00737361">
        <w:rPr>
          <w:color w:val="333333"/>
          <w:kern w:val="0"/>
        </w:rPr>
        <w:t>December 12, 2020,</w:t>
      </w:r>
      <w:r>
        <w:rPr>
          <w:color w:val="333333"/>
          <w:kern w:val="0"/>
        </w:rPr>
        <w:t xml:space="preserve"> or if the Company does not make progress consistent with the plan, the Exchange will initiate delisting procedures as appropriate. </w:t>
      </w:r>
    </w:p>
    <w:p w:rsidR="0014657B" w:rsidRDefault="0014657B" w:rsidP="00737361">
      <w:pPr>
        <w:shd w:val="clear" w:color="auto" w:fill="FFFFFF"/>
        <w:ind w:firstLine="720"/>
        <w:jc w:val="both"/>
        <w:rPr>
          <w:color w:val="333333"/>
          <w:kern w:val="0"/>
        </w:rPr>
      </w:pPr>
    </w:p>
    <w:p w:rsidR="00AF3649" w:rsidRDefault="00AF3649" w:rsidP="00737361">
      <w:pPr>
        <w:shd w:val="clear" w:color="auto" w:fill="FFFFFF"/>
        <w:ind w:firstLine="720"/>
        <w:jc w:val="both"/>
        <w:rPr>
          <w:color w:val="333333"/>
          <w:kern w:val="0"/>
        </w:rPr>
      </w:pPr>
      <w:proofErr w:type="gramStart"/>
      <w:r>
        <w:rPr>
          <w:color w:val="333333"/>
          <w:kern w:val="0"/>
        </w:rPr>
        <w:t xml:space="preserve">The Company’s management is pursuing options to address </w:t>
      </w:r>
      <w:r w:rsidR="006D05C8">
        <w:rPr>
          <w:color w:val="333333"/>
          <w:kern w:val="0"/>
        </w:rPr>
        <w:t>the deficiencies and intends to submit a compliance plan on or before the deadline set by the Exchange.</w:t>
      </w:r>
      <w:proofErr w:type="gramEnd"/>
      <w:r w:rsidR="006D05C8">
        <w:rPr>
          <w:color w:val="333333"/>
          <w:kern w:val="0"/>
        </w:rPr>
        <w:t xml:space="preserve"> </w:t>
      </w:r>
    </w:p>
    <w:p w:rsidR="00AF3649" w:rsidRDefault="00AF3649" w:rsidP="00AF3649">
      <w:pPr>
        <w:shd w:val="clear" w:color="auto" w:fill="FFFFFF"/>
        <w:jc w:val="both"/>
        <w:rPr>
          <w:color w:val="333333"/>
          <w:kern w:val="0"/>
        </w:rPr>
      </w:pPr>
    </w:p>
    <w:p w:rsidR="00253287" w:rsidRDefault="00253287" w:rsidP="00253287">
      <w:pPr>
        <w:pStyle w:val="NormalWeb"/>
        <w:spacing w:before="0" w:beforeAutospacing="0" w:after="0" w:afterAutospacing="0" w:line="288" w:lineRule="auto"/>
        <w:rPr>
          <w:sz w:val="20"/>
          <w:szCs w:val="20"/>
        </w:rPr>
      </w:pPr>
      <w:r>
        <w:rPr>
          <w:b/>
          <w:bCs/>
          <w:sz w:val="20"/>
          <w:szCs w:val="20"/>
        </w:rPr>
        <w:t>Item 7.01 Regulation FD Disclosure</w:t>
      </w:r>
      <w:r>
        <w:rPr>
          <w:sz w:val="20"/>
          <w:szCs w:val="20"/>
        </w:rPr>
        <w:t xml:space="preserve"> </w:t>
      </w:r>
    </w:p>
    <w:p w:rsidR="004B6231" w:rsidRDefault="004B6231" w:rsidP="00253287">
      <w:pPr>
        <w:pStyle w:val="NormalWeb"/>
        <w:spacing w:before="0" w:beforeAutospacing="0" w:after="0" w:afterAutospacing="0" w:line="288" w:lineRule="auto"/>
        <w:rPr>
          <w:sz w:val="20"/>
          <w:szCs w:val="20"/>
        </w:rPr>
      </w:pPr>
    </w:p>
    <w:p w:rsidR="00253287" w:rsidRDefault="00253287" w:rsidP="00737361">
      <w:pPr>
        <w:shd w:val="clear" w:color="auto" w:fill="FFFFFF"/>
        <w:ind w:firstLine="720"/>
        <w:jc w:val="both"/>
        <w:rPr>
          <w:color w:val="333333"/>
          <w:kern w:val="0"/>
        </w:rPr>
      </w:pPr>
      <w:r w:rsidRPr="00737361">
        <w:rPr>
          <w:color w:val="333333"/>
          <w:kern w:val="0"/>
        </w:rPr>
        <w:t xml:space="preserve">On </w:t>
      </w:r>
      <w:r w:rsidR="003C7A57">
        <w:rPr>
          <w:color w:val="333333"/>
          <w:kern w:val="0"/>
        </w:rPr>
        <w:t>June 18</w:t>
      </w:r>
      <w:r w:rsidR="004B6231" w:rsidRPr="00737361">
        <w:rPr>
          <w:color w:val="333333"/>
          <w:kern w:val="0"/>
        </w:rPr>
        <w:t>, 2019</w:t>
      </w:r>
      <w:r w:rsidRPr="00737361">
        <w:rPr>
          <w:color w:val="333333"/>
          <w:kern w:val="0"/>
        </w:rPr>
        <w:t xml:space="preserve">, </w:t>
      </w:r>
      <w:r w:rsidRPr="003C7A57">
        <w:rPr>
          <w:color w:val="333333"/>
          <w:kern w:val="0"/>
        </w:rPr>
        <w:t>the Company issued a press release regarding th</w:t>
      </w:r>
      <w:r w:rsidR="003C7A57" w:rsidRPr="003C7A57">
        <w:rPr>
          <w:color w:val="333333"/>
          <w:kern w:val="0"/>
        </w:rPr>
        <w:t xml:space="preserve">e appointment of Mr. Andrei </w:t>
      </w:r>
      <w:proofErr w:type="spellStart"/>
      <w:r w:rsidR="003C7A57" w:rsidRPr="003C7A57">
        <w:rPr>
          <w:color w:val="333333"/>
          <w:kern w:val="0"/>
        </w:rPr>
        <w:t>Sora</w:t>
      </w:r>
      <w:r w:rsidRPr="003C7A57">
        <w:rPr>
          <w:color w:val="333333"/>
          <w:kern w:val="0"/>
        </w:rPr>
        <w:t>n</w:t>
      </w:r>
      <w:proofErr w:type="spellEnd"/>
      <w:r w:rsidRPr="003C7A57">
        <w:rPr>
          <w:color w:val="333333"/>
          <w:kern w:val="0"/>
        </w:rPr>
        <w:t>, currently a direc</w:t>
      </w:r>
      <w:r w:rsidR="002A37C2" w:rsidRPr="003C7A57">
        <w:rPr>
          <w:color w:val="333333"/>
          <w:kern w:val="0"/>
        </w:rPr>
        <w:t>tor of the Company, as Chairman</w:t>
      </w:r>
      <w:r w:rsidR="003C7A57">
        <w:rPr>
          <w:color w:val="333333"/>
          <w:kern w:val="0"/>
        </w:rPr>
        <w:t>.</w:t>
      </w:r>
      <w:r w:rsidRPr="00737361">
        <w:rPr>
          <w:color w:val="333333"/>
          <w:kern w:val="0"/>
        </w:rPr>
        <w:t xml:space="preserve"> </w:t>
      </w:r>
      <w:r w:rsidR="003C7A57">
        <w:rPr>
          <w:color w:val="333333"/>
          <w:kern w:val="0"/>
        </w:rPr>
        <w:t xml:space="preserve"> </w:t>
      </w:r>
    </w:p>
    <w:p w:rsidR="008D0B25" w:rsidRDefault="008D0B25" w:rsidP="00737361">
      <w:pPr>
        <w:shd w:val="clear" w:color="auto" w:fill="FFFFFF"/>
        <w:ind w:firstLine="720"/>
        <w:jc w:val="both"/>
        <w:rPr>
          <w:color w:val="333333"/>
          <w:kern w:val="0"/>
        </w:rPr>
      </w:pPr>
    </w:p>
    <w:p w:rsidR="008D0B25" w:rsidRDefault="008D0B25" w:rsidP="00737361">
      <w:pPr>
        <w:shd w:val="clear" w:color="auto" w:fill="FFFFFF"/>
        <w:ind w:firstLine="720"/>
        <w:jc w:val="both"/>
        <w:rPr>
          <w:rFonts w:ascii="inherit" w:hAnsi="inherit"/>
          <w:lang w:val="en"/>
        </w:rPr>
      </w:pPr>
      <w:r>
        <w:rPr>
          <w:rFonts w:ascii="inherit" w:hAnsi="inherit"/>
          <w:lang w:val="en"/>
        </w:rPr>
        <w:t xml:space="preserve">In accordance with the NYSE’s rules, the Company issued a press release announcing that it had received the notice of noncompliance with NYSE continued listing standards. </w:t>
      </w:r>
    </w:p>
    <w:p w:rsidR="008D0B25" w:rsidRDefault="008D0B25" w:rsidP="00737361">
      <w:pPr>
        <w:shd w:val="clear" w:color="auto" w:fill="FFFFFF"/>
        <w:ind w:firstLine="720"/>
        <w:jc w:val="both"/>
        <w:rPr>
          <w:rFonts w:ascii="inherit" w:hAnsi="inherit"/>
          <w:lang w:val="en"/>
        </w:rPr>
      </w:pPr>
    </w:p>
    <w:p w:rsidR="008D0B25" w:rsidRDefault="008D0B25" w:rsidP="00737361">
      <w:pPr>
        <w:shd w:val="clear" w:color="auto" w:fill="FFFFFF"/>
        <w:ind w:firstLine="720"/>
        <w:jc w:val="both"/>
        <w:rPr>
          <w:rFonts w:ascii="inherit" w:hAnsi="inherit"/>
          <w:lang w:val="en"/>
        </w:rPr>
      </w:pPr>
      <w:r>
        <w:rPr>
          <w:rFonts w:ascii="inherit" w:hAnsi="inherit"/>
          <w:lang w:val="en"/>
        </w:rPr>
        <w:t>A copy of the press release is attached to this Form 8-K as Exhibit 99.</w:t>
      </w:r>
      <w:r w:rsidR="000A643B">
        <w:rPr>
          <w:rFonts w:ascii="inherit" w:hAnsi="inherit"/>
          <w:lang w:val="en"/>
        </w:rPr>
        <w:t>0</w:t>
      </w:r>
      <w:r>
        <w:rPr>
          <w:rFonts w:ascii="inherit" w:hAnsi="inherit"/>
          <w:lang w:val="en"/>
        </w:rPr>
        <w:t>1.</w:t>
      </w:r>
    </w:p>
    <w:p w:rsidR="008D0B25" w:rsidRDefault="008D0B25" w:rsidP="00737361">
      <w:pPr>
        <w:shd w:val="clear" w:color="auto" w:fill="FFFFFF"/>
        <w:ind w:firstLine="720"/>
        <w:jc w:val="both"/>
        <w:rPr>
          <w:rFonts w:ascii="inherit" w:hAnsi="inherit"/>
          <w:lang w:val="en"/>
        </w:rPr>
      </w:pPr>
    </w:p>
    <w:p w:rsidR="008D0B25" w:rsidRPr="00737361" w:rsidRDefault="008D0B25" w:rsidP="00737361">
      <w:pPr>
        <w:shd w:val="clear" w:color="auto" w:fill="FFFFFF"/>
        <w:ind w:firstLine="720"/>
        <w:jc w:val="both"/>
        <w:rPr>
          <w:color w:val="333333"/>
          <w:kern w:val="0"/>
        </w:rPr>
      </w:pPr>
      <w:proofErr w:type="gramStart"/>
      <w:r>
        <w:rPr>
          <w:rFonts w:ascii="inherit" w:hAnsi="inherit"/>
          <w:lang w:val="en"/>
        </w:rPr>
        <w:t>The information included in this Current Report on Form 8-K under Item 7.01 and Exhibit 99.</w:t>
      </w:r>
      <w:r w:rsidR="002A37C2">
        <w:rPr>
          <w:rFonts w:ascii="inherit" w:hAnsi="inherit"/>
          <w:lang w:val="en"/>
        </w:rPr>
        <w:t>0</w:t>
      </w:r>
      <w:r>
        <w:rPr>
          <w:rFonts w:ascii="inherit" w:hAnsi="inherit"/>
          <w:lang w:val="en"/>
        </w:rPr>
        <w:t>1 is being furnished and shall not be deemed “filed” for purposes of Section 18 of the Securities Exchange Act of 1934, as amended (the “Exchange Act”), or otherwise subject to liabilities of that Section, unless the registrant specifically states that the information is to be considered “filed” under the Exchange Act or incorporates it by reference into a filing under the Exchange Act or the Securities Act of 1933, as amended.</w:t>
      </w:r>
      <w:proofErr w:type="gramEnd"/>
    </w:p>
    <w:p w:rsidR="00253287" w:rsidRDefault="00253287" w:rsidP="008D0B25">
      <w:pPr>
        <w:widowControl w:val="0"/>
        <w:autoSpaceDE w:val="0"/>
        <w:autoSpaceDN w:val="0"/>
        <w:adjustRightInd w:val="0"/>
        <w:jc w:val="both"/>
      </w:pPr>
    </w:p>
    <w:p w:rsidR="00253287" w:rsidRDefault="00253287">
      <w:pPr>
        <w:widowControl w:val="0"/>
        <w:autoSpaceDE w:val="0"/>
        <w:autoSpaceDN w:val="0"/>
        <w:adjustRightInd w:val="0"/>
        <w:ind w:firstLine="540"/>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59"/>
        <w:gridCol w:w="5700"/>
        <w:gridCol w:w="3381"/>
      </w:tblGrid>
      <w:tr w:rsidR="00B373CD">
        <w:trPr>
          <w:trHeight w:hRule="exact" w:val="20"/>
        </w:trPr>
        <w:tc>
          <w:tcPr>
            <w:tcW w:w="1159" w:type="dxa"/>
          </w:tcPr>
          <w:p w:rsidR="00B373CD" w:rsidRDefault="002A6AFF">
            <w:r>
              <w:br w:type="page"/>
            </w:r>
          </w:p>
        </w:tc>
        <w:tc>
          <w:tcPr>
            <w:tcW w:w="0" w:type="auto"/>
          </w:tcPr>
          <w:p w:rsidR="00B373CD" w:rsidRDefault="00B373CD"/>
        </w:tc>
        <w:tc>
          <w:tcPr>
            <w:tcW w:w="3381" w:type="dxa"/>
          </w:tcPr>
          <w:p w:rsidR="00B373CD" w:rsidRDefault="00B373CD"/>
        </w:tc>
      </w:tr>
      <w:tr w:rsidR="00B373CD">
        <w:tc>
          <w:tcPr>
            <w:tcW w:w="1159" w:type="dxa"/>
          </w:tcPr>
          <w:p w:rsidR="00B373CD" w:rsidRDefault="002A6AFF">
            <w:r>
              <w:rPr>
                <w:b/>
              </w:rPr>
              <w:t>Item 9.01</w:t>
            </w:r>
          </w:p>
        </w:tc>
        <w:tc>
          <w:tcPr>
            <w:tcW w:w="0" w:type="auto"/>
          </w:tcPr>
          <w:p w:rsidR="00B373CD" w:rsidRDefault="002A6AFF">
            <w:r>
              <w:rPr>
                <w:b/>
              </w:rPr>
              <w:t>Financial Statements and Exhibits.</w:t>
            </w:r>
          </w:p>
        </w:tc>
        <w:tc>
          <w:tcPr>
            <w:tcW w:w="3381" w:type="dxa"/>
          </w:tcPr>
          <w:p w:rsidR="00B373CD" w:rsidRDefault="00B373CD"/>
        </w:tc>
      </w:tr>
      <w:tr w:rsidR="00B373CD">
        <w:tc>
          <w:tcPr>
            <w:tcW w:w="1159" w:type="dxa"/>
          </w:tcPr>
          <w:p w:rsidR="00B373CD" w:rsidRDefault="002A6AFF">
            <w:r>
              <w:t> </w:t>
            </w:r>
          </w:p>
        </w:tc>
        <w:tc>
          <w:tcPr>
            <w:tcW w:w="0" w:type="auto"/>
          </w:tcPr>
          <w:p w:rsidR="00B373CD" w:rsidRDefault="00B373CD"/>
        </w:tc>
        <w:tc>
          <w:tcPr>
            <w:tcW w:w="3381" w:type="dxa"/>
          </w:tcPr>
          <w:p w:rsidR="00B373CD" w:rsidRDefault="00B373CD"/>
        </w:tc>
      </w:tr>
      <w:tr w:rsidR="00B373CD">
        <w:tc>
          <w:tcPr>
            <w:tcW w:w="1159" w:type="dxa"/>
          </w:tcPr>
          <w:p w:rsidR="00B373CD" w:rsidRDefault="002A6AFF">
            <w:pPr>
              <w:ind w:firstLine="720"/>
            </w:pPr>
            <w:r>
              <w:t>(d) </w:t>
            </w:r>
          </w:p>
        </w:tc>
        <w:tc>
          <w:tcPr>
            <w:tcW w:w="0" w:type="auto"/>
          </w:tcPr>
          <w:p w:rsidR="00B373CD" w:rsidRDefault="002A6AFF">
            <w:r>
              <w:t>Exhibits.</w:t>
            </w:r>
          </w:p>
        </w:tc>
        <w:tc>
          <w:tcPr>
            <w:tcW w:w="3381" w:type="dxa"/>
          </w:tcPr>
          <w:p w:rsidR="00B373CD" w:rsidRDefault="00B373CD"/>
        </w:tc>
      </w:tr>
    </w:tbl>
    <w:p w:rsidR="00B373CD" w:rsidRDefault="00B373CD"/>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60"/>
        <w:gridCol w:w="270"/>
        <w:gridCol w:w="8710"/>
      </w:tblGrid>
      <w:tr w:rsidR="00B373CD">
        <w:trPr>
          <w:trHeight w:hRule="exact" w:val="20"/>
        </w:trPr>
        <w:tc>
          <w:tcPr>
            <w:tcW w:w="1260" w:type="dxa"/>
          </w:tcPr>
          <w:p w:rsidR="00B373CD" w:rsidRDefault="00B373CD"/>
        </w:tc>
        <w:tc>
          <w:tcPr>
            <w:tcW w:w="270" w:type="dxa"/>
          </w:tcPr>
          <w:p w:rsidR="00B373CD" w:rsidRDefault="00B373CD"/>
        </w:tc>
        <w:tc>
          <w:tcPr>
            <w:tcW w:w="0" w:type="auto"/>
          </w:tcPr>
          <w:p w:rsidR="00B373CD" w:rsidRDefault="00B373CD"/>
        </w:tc>
      </w:tr>
      <w:tr w:rsidR="00B373CD">
        <w:tc>
          <w:tcPr>
            <w:tcW w:w="1260" w:type="dxa"/>
          </w:tcPr>
          <w:p w:rsidR="00B373CD" w:rsidRDefault="002A6AFF">
            <w:pPr>
              <w:rPr>
                <w:b/>
              </w:rPr>
            </w:pPr>
            <w:r>
              <w:rPr>
                <w:b/>
                <w:color w:val="000000"/>
                <w:u w:val="single" w:color="000000"/>
              </w:rPr>
              <w:t>Exhibit No.</w:t>
            </w:r>
          </w:p>
        </w:tc>
        <w:tc>
          <w:tcPr>
            <w:tcW w:w="270" w:type="dxa"/>
          </w:tcPr>
          <w:p w:rsidR="00B373CD" w:rsidRDefault="002A6AFF">
            <w:pPr>
              <w:rPr>
                <w:b/>
              </w:rPr>
            </w:pPr>
            <w:r>
              <w:rPr>
                <w:b/>
              </w:rPr>
              <w:t> </w:t>
            </w:r>
          </w:p>
        </w:tc>
        <w:tc>
          <w:tcPr>
            <w:tcW w:w="0" w:type="auto"/>
          </w:tcPr>
          <w:p w:rsidR="00B373CD" w:rsidRDefault="002A6AFF">
            <w:pPr>
              <w:rPr>
                <w:b/>
                <w:color w:val="000000"/>
                <w:u w:val="single" w:color="000000"/>
              </w:rPr>
            </w:pPr>
            <w:r>
              <w:rPr>
                <w:b/>
                <w:color w:val="000000"/>
                <w:u w:val="single" w:color="000000"/>
              </w:rPr>
              <w:t>Description</w:t>
            </w:r>
          </w:p>
          <w:p w:rsidR="00B373CD" w:rsidRDefault="002A6AFF">
            <w:pPr>
              <w:rPr>
                <w:b/>
              </w:rPr>
            </w:pPr>
            <w:r>
              <w:rPr>
                <w:b/>
              </w:rPr>
              <w:t> </w:t>
            </w:r>
          </w:p>
        </w:tc>
      </w:tr>
      <w:tr w:rsidR="00B373CD">
        <w:tc>
          <w:tcPr>
            <w:tcW w:w="1260" w:type="dxa"/>
          </w:tcPr>
          <w:p w:rsidR="00B373CD" w:rsidRDefault="00B373CD"/>
        </w:tc>
        <w:tc>
          <w:tcPr>
            <w:tcW w:w="270" w:type="dxa"/>
          </w:tcPr>
          <w:p w:rsidR="00B373CD" w:rsidRDefault="00B373CD"/>
        </w:tc>
        <w:tc>
          <w:tcPr>
            <w:tcW w:w="0" w:type="auto"/>
          </w:tcPr>
          <w:p w:rsidR="00B373CD" w:rsidRDefault="00B373CD"/>
        </w:tc>
      </w:tr>
      <w:tr w:rsidR="00B373CD">
        <w:tc>
          <w:tcPr>
            <w:tcW w:w="1260" w:type="dxa"/>
          </w:tcPr>
          <w:p w:rsidR="00B373CD" w:rsidRDefault="00050115" w:rsidP="00050115">
            <w:r>
              <w:t>99.</w:t>
            </w:r>
            <w:r w:rsidR="000A643B">
              <w:t>0</w:t>
            </w:r>
            <w:r>
              <w:t>1</w:t>
            </w:r>
          </w:p>
        </w:tc>
        <w:tc>
          <w:tcPr>
            <w:tcW w:w="270" w:type="dxa"/>
          </w:tcPr>
          <w:p w:rsidR="00B373CD" w:rsidRDefault="00B373CD"/>
        </w:tc>
        <w:tc>
          <w:tcPr>
            <w:tcW w:w="0" w:type="auto"/>
          </w:tcPr>
          <w:p w:rsidR="00B373CD" w:rsidRDefault="00050115" w:rsidP="00050115">
            <w:r>
              <w:rPr>
                <w:rStyle w:val="Hyperlink"/>
              </w:rPr>
              <w:t>Press Release</w:t>
            </w:r>
          </w:p>
        </w:tc>
      </w:tr>
      <w:tr w:rsidR="00B373CD">
        <w:tc>
          <w:tcPr>
            <w:tcW w:w="1260" w:type="dxa"/>
          </w:tcPr>
          <w:p w:rsidR="00B373CD" w:rsidRDefault="00B373CD"/>
        </w:tc>
        <w:tc>
          <w:tcPr>
            <w:tcW w:w="270" w:type="dxa"/>
          </w:tcPr>
          <w:p w:rsidR="00B373CD" w:rsidRDefault="00B373CD"/>
        </w:tc>
        <w:tc>
          <w:tcPr>
            <w:tcW w:w="0" w:type="auto"/>
          </w:tcPr>
          <w:p w:rsidR="00B373CD" w:rsidRDefault="00B373CD">
            <w:pPr>
              <w:rPr>
                <w:color w:val="0000FF" w:themeColor="hyperlink"/>
                <w:u w:val="single"/>
              </w:rPr>
            </w:pPr>
          </w:p>
        </w:tc>
      </w:tr>
    </w:tbl>
    <w:p w:rsidR="002A37C2" w:rsidRDefault="002A37C2">
      <w:pPr>
        <w:spacing w:after="120"/>
        <w:ind w:left="1440" w:hanging="1440"/>
        <w:jc w:val="center"/>
        <w:rPr>
          <w:b/>
          <w:color w:val="000000"/>
          <w:u w:val="single" w:color="000000"/>
        </w:rPr>
      </w:pPr>
    </w:p>
    <w:p w:rsidR="002A37C2" w:rsidRDefault="002A37C2">
      <w:pPr>
        <w:spacing w:after="120"/>
        <w:ind w:left="1440" w:hanging="1440"/>
        <w:jc w:val="center"/>
        <w:rPr>
          <w:b/>
          <w:color w:val="000000"/>
          <w:u w:val="single" w:color="000000"/>
        </w:rPr>
      </w:pPr>
    </w:p>
    <w:p w:rsidR="00B373CD" w:rsidRDefault="002A6AFF">
      <w:pPr>
        <w:spacing w:after="120"/>
        <w:ind w:left="1440" w:hanging="1440"/>
        <w:jc w:val="center"/>
        <w:rPr>
          <w:b/>
        </w:rPr>
      </w:pPr>
      <w:r>
        <w:rPr>
          <w:b/>
          <w:color w:val="000000"/>
          <w:u w:val="single" w:color="000000"/>
        </w:rPr>
        <w:lastRenderedPageBreak/>
        <w:t>SIGNATURE</w:t>
      </w:r>
      <w:bookmarkStart w:id="3" w:name="Signatures"/>
      <w:bookmarkEnd w:id="3"/>
    </w:p>
    <w:p w:rsidR="00B373CD" w:rsidRDefault="002A6AFF">
      <w:pPr>
        <w:spacing w:after="120"/>
        <w:ind w:firstLine="720"/>
        <w:jc w:val="both"/>
      </w:pPr>
      <w:r>
        <w:t>Pursuant to the requirements of the Securities Exchange Act of 1934, the registrant has duly caused this report to be signed on its behalf by the undersigned, hereunto duly authorized, on the</w:t>
      </w:r>
      <w:r w:rsidR="002A37C2">
        <w:t xml:space="preserve"> 18th</w:t>
      </w:r>
      <w:r w:rsidR="008E62F3">
        <w:t xml:space="preserve"> </w:t>
      </w:r>
      <w:r>
        <w:t xml:space="preserve">day of </w:t>
      </w:r>
      <w:proofErr w:type="gramStart"/>
      <w:r w:rsidR="00D35208">
        <w:t>June</w:t>
      </w:r>
      <w:r w:rsidR="008E62F3">
        <w:t>,</w:t>
      </w:r>
      <w:proofErr w:type="gramEnd"/>
      <w:r w:rsidR="008E62F3">
        <w:t xml:space="preserve"> 2019</w:t>
      </w:r>
      <w:r>
        <w:t>.</w:t>
      </w:r>
    </w:p>
    <w:p w:rsidR="00B373CD" w:rsidRDefault="00B373CD"/>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9"/>
        <w:gridCol w:w="1227"/>
        <w:gridCol w:w="356"/>
        <w:gridCol w:w="4338"/>
      </w:tblGrid>
      <w:tr w:rsidR="00B373CD">
        <w:trPr>
          <w:trHeight w:hRule="exact" w:val="20"/>
        </w:trPr>
        <w:tc>
          <w:tcPr>
            <w:tcW w:w="0" w:type="auto"/>
          </w:tcPr>
          <w:p w:rsidR="00B373CD" w:rsidRDefault="00B373CD"/>
        </w:tc>
        <w:tc>
          <w:tcPr>
            <w:tcW w:w="1227" w:type="dxa"/>
          </w:tcPr>
          <w:p w:rsidR="00B373CD" w:rsidRDefault="00B373CD"/>
        </w:tc>
        <w:tc>
          <w:tcPr>
            <w:tcW w:w="356" w:type="dxa"/>
          </w:tcPr>
          <w:p w:rsidR="00B373CD" w:rsidRDefault="00B373CD"/>
        </w:tc>
        <w:tc>
          <w:tcPr>
            <w:tcW w:w="4338" w:type="dxa"/>
          </w:tcPr>
          <w:p w:rsidR="00B373CD" w:rsidRDefault="00B373CD"/>
        </w:tc>
      </w:tr>
      <w:tr w:rsidR="00B373CD">
        <w:trPr>
          <w:trHeight w:val="211"/>
        </w:trPr>
        <w:tc>
          <w:tcPr>
            <w:tcW w:w="0" w:type="auto"/>
          </w:tcPr>
          <w:p w:rsidR="00B373CD" w:rsidRDefault="002A6AFF">
            <w:r>
              <w:t> </w:t>
            </w:r>
          </w:p>
        </w:tc>
        <w:tc>
          <w:tcPr>
            <w:tcW w:w="1227" w:type="dxa"/>
          </w:tcPr>
          <w:p w:rsidR="00B373CD" w:rsidRDefault="00B373CD"/>
        </w:tc>
        <w:tc>
          <w:tcPr>
            <w:tcW w:w="4694" w:type="dxa"/>
            <w:gridSpan w:val="2"/>
          </w:tcPr>
          <w:p w:rsidR="00B373CD" w:rsidRDefault="002A6AFF">
            <w:r>
              <w:t>MICRON SOLUTIONS, INC.</w:t>
            </w:r>
          </w:p>
        </w:tc>
      </w:tr>
      <w:tr w:rsidR="00B373CD">
        <w:trPr>
          <w:trHeight w:val="211"/>
        </w:trPr>
        <w:tc>
          <w:tcPr>
            <w:tcW w:w="0" w:type="auto"/>
          </w:tcPr>
          <w:p w:rsidR="00B373CD" w:rsidRDefault="002A6AFF">
            <w:r>
              <w:t> </w:t>
            </w:r>
          </w:p>
        </w:tc>
        <w:tc>
          <w:tcPr>
            <w:tcW w:w="1227" w:type="dxa"/>
          </w:tcPr>
          <w:p w:rsidR="00B373CD" w:rsidRDefault="00B373CD"/>
        </w:tc>
        <w:tc>
          <w:tcPr>
            <w:tcW w:w="356" w:type="dxa"/>
          </w:tcPr>
          <w:p w:rsidR="00B373CD" w:rsidRDefault="00B373CD"/>
        </w:tc>
        <w:tc>
          <w:tcPr>
            <w:tcW w:w="4338" w:type="dxa"/>
          </w:tcPr>
          <w:p w:rsidR="00B373CD" w:rsidRDefault="00B373CD"/>
        </w:tc>
      </w:tr>
      <w:tr w:rsidR="00B373CD">
        <w:tc>
          <w:tcPr>
            <w:tcW w:w="0" w:type="auto"/>
          </w:tcPr>
          <w:p w:rsidR="00B373CD" w:rsidRDefault="00B373CD"/>
        </w:tc>
        <w:tc>
          <w:tcPr>
            <w:tcW w:w="1227" w:type="dxa"/>
          </w:tcPr>
          <w:p w:rsidR="00B373CD" w:rsidRDefault="00B373CD"/>
        </w:tc>
        <w:tc>
          <w:tcPr>
            <w:tcW w:w="356" w:type="dxa"/>
          </w:tcPr>
          <w:p w:rsidR="00B373CD" w:rsidRDefault="002A6AFF">
            <w:r>
              <w:t>By</w:t>
            </w:r>
            <w:r>
              <w:rPr>
                <w:color w:val="000000"/>
              </w:rPr>
              <w:t>:</w:t>
            </w:r>
          </w:p>
        </w:tc>
        <w:tc>
          <w:tcPr>
            <w:tcW w:w="4338" w:type="dxa"/>
            <w:tcBorders>
              <w:bottom w:val="single" w:sz="4" w:space="0" w:color="auto"/>
            </w:tcBorders>
          </w:tcPr>
          <w:p w:rsidR="00B373CD" w:rsidRDefault="001841FA">
            <w:r>
              <w:t>/s/ William J. Laursen</w:t>
            </w:r>
          </w:p>
        </w:tc>
      </w:tr>
      <w:tr w:rsidR="00B373CD">
        <w:tc>
          <w:tcPr>
            <w:tcW w:w="0" w:type="auto"/>
          </w:tcPr>
          <w:p w:rsidR="00B373CD" w:rsidRDefault="00B373CD"/>
        </w:tc>
        <w:tc>
          <w:tcPr>
            <w:tcW w:w="1227" w:type="dxa"/>
          </w:tcPr>
          <w:p w:rsidR="00B373CD" w:rsidRDefault="00B373CD"/>
        </w:tc>
        <w:tc>
          <w:tcPr>
            <w:tcW w:w="356" w:type="dxa"/>
          </w:tcPr>
          <w:p w:rsidR="00B373CD" w:rsidRDefault="00B373CD"/>
        </w:tc>
        <w:tc>
          <w:tcPr>
            <w:tcW w:w="4338" w:type="dxa"/>
            <w:tcBorders>
              <w:top w:val="single" w:sz="4" w:space="0" w:color="auto"/>
            </w:tcBorders>
          </w:tcPr>
          <w:p w:rsidR="00B373CD" w:rsidRDefault="008E62F3">
            <w:r>
              <w:t>William J. Laursen</w:t>
            </w:r>
          </w:p>
        </w:tc>
      </w:tr>
      <w:tr w:rsidR="00B373CD">
        <w:tc>
          <w:tcPr>
            <w:tcW w:w="0" w:type="auto"/>
          </w:tcPr>
          <w:p w:rsidR="00B373CD" w:rsidRDefault="00B373CD"/>
        </w:tc>
        <w:tc>
          <w:tcPr>
            <w:tcW w:w="1227" w:type="dxa"/>
          </w:tcPr>
          <w:p w:rsidR="00B373CD" w:rsidRDefault="00B373CD"/>
        </w:tc>
        <w:tc>
          <w:tcPr>
            <w:tcW w:w="356" w:type="dxa"/>
          </w:tcPr>
          <w:p w:rsidR="00B373CD" w:rsidRDefault="00B373CD"/>
        </w:tc>
        <w:tc>
          <w:tcPr>
            <w:tcW w:w="4338" w:type="dxa"/>
          </w:tcPr>
          <w:p w:rsidR="00B373CD" w:rsidRDefault="008E62F3" w:rsidP="008E62F3">
            <w:r>
              <w:t>President and CEO</w:t>
            </w:r>
          </w:p>
        </w:tc>
      </w:tr>
      <w:tr w:rsidR="00B373CD">
        <w:tc>
          <w:tcPr>
            <w:tcW w:w="0" w:type="auto"/>
          </w:tcPr>
          <w:p w:rsidR="00B373CD" w:rsidRDefault="00B373CD"/>
        </w:tc>
        <w:tc>
          <w:tcPr>
            <w:tcW w:w="1227" w:type="dxa"/>
          </w:tcPr>
          <w:p w:rsidR="00B373CD" w:rsidRDefault="00B373CD"/>
        </w:tc>
        <w:tc>
          <w:tcPr>
            <w:tcW w:w="356" w:type="dxa"/>
          </w:tcPr>
          <w:p w:rsidR="00B373CD" w:rsidRDefault="00B373CD"/>
        </w:tc>
        <w:tc>
          <w:tcPr>
            <w:tcW w:w="4338" w:type="dxa"/>
          </w:tcPr>
          <w:p w:rsidR="00B373CD" w:rsidRDefault="00B373CD"/>
        </w:tc>
      </w:tr>
    </w:tbl>
    <w:p w:rsidR="00B373CD" w:rsidRDefault="00B373CD"/>
    <w:p w:rsidR="00B373CD" w:rsidRDefault="00B373CD"/>
    <w:p w:rsidR="00B373CD" w:rsidRDefault="00B373CD"/>
    <w:p w:rsidR="00B373CD" w:rsidRDefault="002A6AFF">
      <w:r>
        <w:t> </w:t>
      </w:r>
    </w:p>
    <w:sectPr w:rsidR="00B373CD">
      <w:headerReference w:type="default" r:id="rId7"/>
      <w:footerReference w:type="default" r:id="rId8"/>
      <w:type w:val="continuous"/>
      <w:pgSz w:w="12240" w:h="15840"/>
      <w:pgMar w:top="860" w:right="1000" w:bottom="860" w:left="1000" w:header="160" w:footer="660" w:gutter="0"/>
      <w:pgNumType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B50" w:rsidRDefault="00CC3B50">
      <w:r>
        <w:separator/>
      </w:r>
    </w:p>
  </w:endnote>
  <w:endnote w:type="continuationSeparator" w:id="0">
    <w:p w:rsidR="00CC3B50" w:rsidRDefault="00CC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3CD" w:rsidRPr="00215D1E" w:rsidRDefault="0014657B">
    <w:pPr>
      <w:spacing w:line="288" w:lineRule="auto"/>
    </w:pPr>
    <w:r w:rsidRPr="0014657B">
      <w:rPr>
        <w:noProof/>
        <w:sz w:val="12"/>
      </w:rPr>
      <w:t>Client Matter 23832/00006/A6033767.DOCX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B50" w:rsidRDefault="00CC3B50">
      <w:pPr>
        <w:rPr>
          <w:noProof/>
        </w:rPr>
      </w:pPr>
      <w:r>
        <w:rPr>
          <w:noProof/>
        </w:rPr>
        <w:separator/>
      </w:r>
    </w:p>
  </w:footnote>
  <w:footnote w:type="continuationSeparator" w:id="0">
    <w:p w:rsidR="00CC3B50" w:rsidRDefault="00CC3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3CD" w:rsidRDefault="00B373CD">
    <w:pPr>
      <w:spacing w:line="288"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E65D7"/>
    <w:multiLevelType w:val="hybridMultilevel"/>
    <w:tmpl w:val="55AC42E8"/>
    <w:lvl w:ilvl="0" w:tplc="DA5A6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CD"/>
    <w:rsid w:val="00050115"/>
    <w:rsid w:val="000930F5"/>
    <w:rsid w:val="000A643B"/>
    <w:rsid w:val="0014657B"/>
    <w:rsid w:val="001841FA"/>
    <w:rsid w:val="00215D1E"/>
    <w:rsid w:val="00253287"/>
    <w:rsid w:val="002A37C2"/>
    <w:rsid w:val="002A6AFF"/>
    <w:rsid w:val="002F578E"/>
    <w:rsid w:val="0035333B"/>
    <w:rsid w:val="003C7A57"/>
    <w:rsid w:val="00456B15"/>
    <w:rsid w:val="004B6231"/>
    <w:rsid w:val="005262FD"/>
    <w:rsid w:val="0065120B"/>
    <w:rsid w:val="006656C3"/>
    <w:rsid w:val="00675630"/>
    <w:rsid w:val="006D05C8"/>
    <w:rsid w:val="00737361"/>
    <w:rsid w:val="0074085B"/>
    <w:rsid w:val="007B0B6C"/>
    <w:rsid w:val="007D33BD"/>
    <w:rsid w:val="008C6A10"/>
    <w:rsid w:val="008D0B25"/>
    <w:rsid w:val="008E62F3"/>
    <w:rsid w:val="00996B11"/>
    <w:rsid w:val="009E620E"/>
    <w:rsid w:val="00A524BE"/>
    <w:rsid w:val="00AE23DB"/>
    <w:rsid w:val="00AF3649"/>
    <w:rsid w:val="00B05FCF"/>
    <w:rsid w:val="00B373CD"/>
    <w:rsid w:val="00B92F50"/>
    <w:rsid w:val="00BC583D"/>
    <w:rsid w:val="00C66172"/>
    <w:rsid w:val="00CC3B50"/>
    <w:rsid w:val="00D35208"/>
    <w:rsid w:val="00FB00D9"/>
    <w:rsid w:val="00FF6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39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16"/>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NormalWeb">
    <w:name w:val="Normal (Web)"/>
    <w:basedOn w:val="Normal"/>
    <w:uiPriority w:val="99"/>
    <w:unhideWhenUsed/>
    <w:pPr>
      <w:spacing w:before="100" w:beforeAutospacing="1" w:after="100" w:afterAutospacing="1"/>
    </w:pPr>
    <w:rPr>
      <w:kern w:val="0"/>
      <w:sz w:val="24"/>
      <w:szCs w:val="24"/>
    </w:rPr>
  </w:style>
  <w:style w:type="character" w:customStyle="1" w:styleId="UnresolvedMention2">
    <w:name w:val="Unresolved Mention2"/>
    <w:basedOn w:val="DefaultParagraphFont"/>
    <w:uiPriority w:val="99"/>
    <w:semiHidden/>
    <w:unhideWhenUsed/>
    <w:rPr>
      <w:color w:val="808080"/>
      <w:shd w:val="clear" w:color="auto" w:fill="E6E6E6"/>
    </w:rPr>
  </w:style>
  <w:style w:type="paragraph" w:styleId="BalloonText">
    <w:name w:val="Balloon Text"/>
    <w:basedOn w:val="Normal"/>
    <w:link w:val="BalloonTextChar"/>
    <w:uiPriority w:val="99"/>
    <w:semiHidden/>
    <w:unhideWhenUsed/>
    <w:rsid w:val="00050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115"/>
    <w:rPr>
      <w:rFonts w:ascii="Segoe UI" w:hAnsi="Segoe UI" w:cs="Segoe UI"/>
      <w:sz w:val="18"/>
      <w:szCs w:val="18"/>
    </w:rPr>
  </w:style>
  <w:style w:type="paragraph" w:styleId="ListParagraph">
    <w:name w:val="List Paragraph"/>
    <w:basedOn w:val="Normal"/>
    <w:uiPriority w:val="34"/>
    <w:qFormat/>
    <w:rsid w:val="00737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16383">
      <w:bodyDiv w:val="1"/>
      <w:marLeft w:val="0"/>
      <w:marRight w:val="0"/>
      <w:marTop w:val="0"/>
      <w:marBottom w:val="0"/>
      <w:divBdr>
        <w:top w:val="none" w:sz="0" w:space="0" w:color="auto"/>
        <w:left w:val="none" w:sz="0" w:space="0" w:color="auto"/>
        <w:bottom w:val="none" w:sz="0" w:space="0" w:color="auto"/>
        <w:right w:val="none" w:sz="0" w:space="0" w:color="auto"/>
      </w:divBdr>
    </w:div>
    <w:div w:id="428549388">
      <w:bodyDiv w:val="1"/>
      <w:marLeft w:val="0"/>
      <w:marRight w:val="0"/>
      <w:marTop w:val="0"/>
      <w:marBottom w:val="0"/>
      <w:divBdr>
        <w:top w:val="none" w:sz="0" w:space="0" w:color="auto"/>
        <w:left w:val="none" w:sz="0" w:space="0" w:color="auto"/>
        <w:bottom w:val="none" w:sz="0" w:space="0" w:color="auto"/>
        <w:right w:val="none" w:sz="0" w:space="0" w:color="auto"/>
      </w:divBdr>
    </w:div>
    <w:div w:id="561142153">
      <w:bodyDiv w:val="1"/>
      <w:marLeft w:val="0"/>
      <w:marRight w:val="0"/>
      <w:marTop w:val="0"/>
      <w:marBottom w:val="0"/>
      <w:divBdr>
        <w:top w:val="none" w:sz="0" w:space="0" w:color="auto"/>
        <w:left w:val="none" w:sz="0" w:space="0" w:color="auto"/>
        <w:bottom w:val="none" w:sz="0" w:space="0" w:color="auto"/>
        <w:right w:val="none" w:sz="0" w:space="0" w:color="auto"/>
      </w:divBdr>
    </w:div>
    <w:div w:id="646979541">
      <w:bodyDiv w:val="1"/>
      <w:marLeft w:val="0"/>
      <w:marRight w:val="0"/>
      <w:marTop w:val="0"/>
      <w:marBottom w:val="0"/>
      <w:divBdr>
        <w:top w:val="none" w:sz="0" w:space="0" w:color="auto"/>
        <w:left w:val="none" w:sz="0" w:space="0" w:color="auto"/>
        <w:bottom w:val="none" w:sz="0" w:space="0" w:color="auto"/>
        <w:right w:val="none" w:sz="0" w:space="0" w:color="auto"/>
      </w:divBdr>
      <w:divsChild>
        <w:div w:id="1792017352">
          <w:marLeft w:val="720"/>
          <w:marRight w:val="720"/>
          <w:marTop w:val="0"/>
          <w:marBottom w:val="0"/>
          <w:divBdr>
            <w:top w:val="none" w:sz="0" w:space="0" w:color="auto"/>
            <w:left w:val="none" w:sz="0" w:space="0" w:color="auto"/>
            <w:bottom w:val="none" w:sz="0" w:space="0" w:color="auto"/>
            <w:right w:val="none" w:sz="0" w:space="0" w:color="auto"/>
          </w:divBdr>
          <w:divsChild>
            <w:div w:id="103772095">
              <w:marLeft w:val="0"/>
              <w:marRight w:val="0"/>
              <w:marTop w:val="0"/>
              <w:marBottom w:val="0"/>
              <w:divBdr>
                <w:top w:val="none" w:sz="0" w:space="0" w:color="auto"/>
                <w:left w:val="none" w:sz="0" w:space="0" w:color="auto"/>
                <w:bottom w:val="none" w:sz="0" w:space="0" w:color="auto"/>
                <w:right w:val="none" w:sz="0" w:space="0" w:color="auto"/>
              </w:divBdr>
            </w:div>
            <w:div w:id="1522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3435">
      <w:bodyDiv w:val="1"/>
      <w:marLeft w:val="0"/>
      <w:marRight w:val="0"/>
      <w:marTop w:val="0"/>
      <w:marBottom w:val="0"/>
      <w:divBdr>
        <w:top w:val="none" w:sz="0" w:space="0" w:color="auto"/>
        <w:left w:val="none" w:sz="0" w:space="0" w:color="auto"/>
        <w:bottom w:val="none" w:sz="0" w:space="0" w:color="auto"/>
        <w:right w:val="none" w:sz="0" w:space="0" w:color="auto"/>
      </w:divBdr>
      <w:divsChild>
        <w:div w:id="1797405955">
          <w:marLeft w:val="720"/>
          <w:marRight w:val="720"/>
          <w:marTop w:val="0"/>
          <w:marBottom w:val="0"/>
          <w:divBdr>
            <w:top w:val="none" w:sz="0" w:space="0" w:color="auto"/>
            <w:left w:val="none" w:sz="0" w:space="0" w:color="auto"/>
            <w:bottom w:val="none" w:sz="0" w:space="0" w:color="auto"/>
            <w:right w:val="none" w:sz="0" w:space="0" w:color="auto"/>
          </w:divBdr>
          <w:divsChild>
            <w:div w:id="1749838604">
              <w:marLeft w:val="0"/>
              <w:marRight w:val="0"/>
              <w:marTop w:val="0"/>
              <w:marBottom w:val="0"/>
              <w:divBdr>
                <w:top w:val="none" w:sz="0" w:space="0" w:color="auto"/>
                <w:left w:val="none" w:sz="0" w:space="0" w:color="auto"/>
                <w:bottom w:val="none" w:sz="0" w:space="0" w:color="auto"/>
                <w:right w:val="none" w:sz="0" w:space="0" w:color="auto"/>
              </w:divBdr>
            </w:div>
            <w:div w:id="13883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1201">
      <w:bodyDiv w:val="1"/>
      <w:marLeft w:val="0"/>
      <w:marRight w:val="0"/>
      <w:marTop w:val="0"/>
      <w:marBottom w:val="0"/>
      <w:divBdr>
        <w:top w:val="none" w:sz="0" w:space="0" w:color="auto"/>
        <w:left w:val="none" w:sz="0" w:space="0" w:color="auto"/>
        <w:bottom w:val="none" w:sz="0" w:space="0" w:color="auto"/>
        <w:right w:val="none" w:sz="0" w:space="0" w:color="auto"/>
      </w:divBdr>
    </w:div>
    <w:div w:id="1100489394">
      <w:bodyDiv w:val="1"/>
      <w:marLeft w:val="0"/>
      <w:marRight w:val="0"/>
      <w:marTop w:val="0"/>
      <w:marBottom w:val="0"/>
      <w:divBdr>
        <w:top w:val="none" w:sz="0" w:space="0" w:color="auto"/>
        <w:left w:val="none" w:sz="0" w:space="0" w:color="auto"/>
        <w:bottom w:val="none" w:sz="0" w:space="0" w:color="auto"/>
        <w:right w:val="none" w:sz="0" w:space="0" w:color="auto"/>
      </w:divBdr>
    </w:div>
    <w:div w:id="1182432816">
      <w:bodyDiv w:val="1"/>
      <w:marLeft w:val="0"/>
      <w:marRight w:val="0"/>
      <w:marTop w:val="0"/>
      <w:marBottom w:val="0"/>
      <w:divBdr>
        <w:top w:val="none" w:sz="0" w:space="0" w:color="auto"/>
        <w:left w:val="none" w:sz="0" w:space="0" w:color="auto"/>
        <w:bottom w:val="none" w:sz="0" w:space="0" w:color="auto"/>
        <w:right w:val="none" w:sz="0" w:space="0" w:color="auto"/>
      </w:divBdr>
      <w:divsChild>
        <w:div w:id="1781799182">
          <w:marLeft w:val="1000"/>
          <w:marRight w:val="1000"/>
          <w:marTop w:val="0"/>
          <w:marBottom w:val="0"/>
          <w:divBdr>
            <w:top w:val="none" w:sz="0" w:space="0" w:color="auto"/>
            <w:left w:val="none" w:sz="0" w:space="0" w:color="auto"/>
            <w:bottom w:val="none" w:sz="0" w:space="0" w:color="auto"/>
            <w:right w:val="none" w:sz="0" w:space="0" w:color="auto"/>
          </w:divBdr>
        </w:div>
      </w:divsChild>
    </w:div>
    <w:div w:id="1367560179">
      <w:bodyDiv w:val="1"/>
      <w:marLeft w:val="0"/>
      <w:marRight w:val="0"/>
      <w:marTop w:val="0"/>
      <w:marBottom w:val="0"/>
      <w:divBdr>
        <w:top w:val="none" w:sz="0" w:space="0" w:color="auto"/>
        <w:left w:val="none" w:sz="0" w:space="0" w:color="auto"/>
        <w:bottom w:val="none" w:sz="0" w:space="0" w:color="auto"/>
        <w:right w:val="none" w:sz="0" w:space="0" w:color="auto"/>
      </w:divBdr>
      <w:divsChild>
        <w:div w:id="1131554707">
          <w:marLeft w:val="0"/>
          <w:marRight w:val="0"/>
          <w:marTop w:val="0"/>
          <w:marBottom w:val="0"/>
          <w:divBdr>
            <w:top w:val="none" w:sz="0" w:space="0" w:color="auto"/>
            <w:left w:val="none" w:sz="0" w:space="0" w:color="auto"/>
            <w:bottom w:val="none" w:sz="0" w:space="0" w:color="auto"/>
            <w:right w:val="none" w:sz="0" w:space="0" w:color="auto"/>
          </w:divBdr>
          <w:divsChild>
            <w:div w:id="745684664">
              <w:marLeft w:val="0"/>
              <w:marRight w:val="0"/>
              <w:marTop w:val="0"/>
              <w:marBottom w:val="450"/>
              <w:divBdr>
                <w:top w:val="none" w:sz="0" w:space="0" w:color="auto"/>
                <w:left w:val="none" w:sz="0" w:space="0" w:color="auto"/>
                <w:bottom w:val="none" w:sz="0" w:space="0" w:color="auto"/>
                <w:right w:val="none" w:sz="0" w:space="0" w:color="auto"/>
              </w:divBdr>
              <w:divsChild>
                <w:div w:id="1387492334">
                  <w:marLeft w:val="0"/>
                  <w:marRight w:val="0"/>
                  <w:marTop w:val="0"/>
                  <w:marBottom w:val="300"/>
                  <w:divBdr>
                    <w:top w:val="none" w:sz="0" w:space="0" w:color="auto"/>
                    <w:left w:val="none" w:sz="0" w:space="0" w:color="auto"/>
                    <w:bottom w:val="none" w:sz="0" w:space="0" w:color="auto"/>
                    <w:right w:val="none" w:sz="0" w:space="0" w:color="auto"/>
                  </w:divBdr>
                  <w:divsChild>
                    <w:div w:id="14848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537296">
      <w:bodyDiv w:val="1"/>
      <w:marLeft w:val="0"/>
      <w:marRight w:val="0"/>
      <w:marTop w:val="0"/>
      <w:marBottom w:val="0"/>
      <w:divBdr>
        <w:top w:val="none" w:sz="0" w:space="0" w:color="auto"/>
        <w:left w:val="none" w:sz="0" w:space="0" w:color="auto"/>
        <w:bottom w:val="none" w:sz="0" w:space="0" w:color="auto"/>
        <w:right w:val="none" w:sz="0" w:space="0" w:color="auto"/>
      </w:divBdr>
    </w:div>
    <w:div w:id="1757096257">
      <w:bodyDiv w:val="1"/>
      <w:marLeft w:val="0"/>
      <w:marRight w:val="0"/>
      <w:marTop w:val="0"/>
      <w:marBottom w:val="0"/>
      <w:divBdr>
        <w:top w:val="none" w:sz="0" w:space="0" w:color="auto"/>
        <w:left w:val="none" w:sz="0" w:space="0" w:color="auto"/>
        <w:bottom w:val="none" w:sz="0" w:space="0" w:color="auto"/>
        <w:right w:val="none" w:sz="0" w:space="0" w:color="auto"/>
      </w:divBdr>
      <w:divsChild>
        <w:div w:id="1819180974">
          <w:marLeft w:val="1000"/>
          <w:marRight w:val="100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6472</CharactersWithSpaces>
  <SharedDoc>false</SharedDoc>
  <HyperlinksChanged>false</HyperlinksChanged>
  <AppVersion>16.0000</AppVersion>
</Properties>
</file>

<file path=docProps/app0.xml><?xml version="1.0" encoding="utf-8"?>
<Properties xmlns="http://schemas.openxmlformats.org/officeDocument/2006/extended-properties">
  <Application>SSC Docx Exporter</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2019-06-18T17:49:00Z</dcterms:created>
  <dcterms:modified xsi:type="dcterms:W3CDTF">2019-06-18T20:44:00Z</dcterms:modified>
</cp:coreProperties>
</file>