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4930" w:tblpY="-2512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980"/>
        <w:gridCol w:w="3969"/>
      </w:tblGrid>
      <w:tr w:rsidR="0012754F" w:rsidRPr="00C421C7" w14:paraId="2F526F03" w14:textId="77777777" w:rsidTr="0BF3202C">
        <w:trPr>
          <w:trHeight w:val="534"/>
        </w:trPr>
        <w:tc>
          <w:tcPr>
            <w:tcW w:w="1980" w:type="dxa"/>
            <w:shd w:val="clear" w:color="auto" w:fill="F4B083" w:themeFill="accent2" w:themeFillTint="99"/>
          </w:tcPr>
          <w:p w14:paraId="065B2C0B" w14:textId="12E62784" w:rsidR="0012754F" w:rsidRPr="0012754F" w:rsidRDefault="0012754F" w:rsidP="0012754F">
            <w:pPr>
              <w:spacing w:before="270" w:after="135"/>
              <w:outlineLvl w:val="2"/>
              <w:rPr>
                <w:rFonts w:eastAsia="Times New Roman" w:cs="Arial"/>
                <w:b/>
                <w:color w:val="000000" w:themeColor="text1"/>
                <w:sz w:val="16"/>
                <w:szCs w:val="16"/>
                <w:lang w:val="en-AU"/>
              </w:rPr>
            </w:pPr>
            <w:r w:rsidRPr="0012754F">
              <w:rPr>
                <w:rFonts w:eastAsia="Times New Roman" w:cs="Arial"/>
                <w:b/>
                <w:color w:val="000000" w:themeColor="text1"/>
                <w:sz w:val="16"/>
                <w:szCs w:val="16"/>
                <w:lang w:val="en-AU"/>
              </w:rPr>
              <w:t xml:space="preserve">Date Written: </w:t>
            </w:r>
            <w:r w:rsidR="00254F66">
              <w:rPr>
                <w:rFonts w:eastAsia="Times New Roman" w:cs="Arial"/>
                <w:b/>
                <w:color w:val="000000" w:themeColor="text1"/>
                <w:sz w:val="16"/>
                <w:szCs w:val="16"/>
                <w:lang w:val="en-AU"/>
              </w:rPr>
              <w:t>1/7/2020</w:t>
            </w:r>
          </w:p>
        </w:tc>
        <w:tc>
          <w:tcPr>
            <w:tcW w:w="3969" w:type="dxa"/>
            <w:shd w:val="clear" w:color="auto" w:fill="F4B083" w:themeFill="accent2" w:themeFillTint="99"/>
          </w:tcPr>
          <w:p w14:paraId="72B5462F" w14:textId="7FE82CD8" w:rsidR="0012754F" w:rsidRPr="0012754F" w:rsidRDefault="0BF3202C" w:rsidP="0BF3202C">
            <w:pPr>
              <w:spacing w:before="270" w:after="135"/>
              <w:outlineLvl w:val="2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AU"/>
              </w:rPr>
            </w:pPr>
            <w:r w:rsidRPr="0BF3202C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AU"/>
              </w:rPr>
              <w:t xml:space="preserve"> Reviewed on: 9/10/20</w:t>
            </w:r>
          </w:p>
        </w:tc>
      </w:tr>
    </w:tbl>
    <w:p w14:paraId="5A165FB9" w14:textId="77777777" w:rsidR="00254F66" w:rsidRPr="002B1226" w:rsidRDefault="00254F66" w:rsidP="00254F66">
      <w:pPr>
        <w:shd w:val="clear" w:color="auto" w:fill="FFFFFF"/>
        <w:spacing w:after="135"/>
        <w:jc w:val="center"/>
        <w:rPr>
          <w:rFonts w:eastAsia="Times New Roman" w:cs="Arial"/>
          <w:b/>
          <w:bCs/>
          <w:color w:val="ED7D31" w:themeColor="accent2"/>
        </w:rPr>
      </w:pPr>
      <w:r w:rsidRPr="002B1226">
        <w:rPr>
          <w:rFonts w:eastAsia="Times New Roman" w:cs="Arial"/>
          <w:b/>
          <w:bCs/>
          <w:color w:val="ED7D31" w:themeColor="accent2"/>
        </w:rPr>
        <w:t>Advocacy Policy</w:t>
      </w:r>
    </w:p>
    <w:p w14:paraId="37C72CD9" w14:textId="71E7CA1A" w:rsidR="00254F66" w:rsidRDefault="00254F66" w:rsidP="00254F66">
      <w:pPr>
        <w:shd w:val="clear" w:color="auto" w:fill="FFFFFF"/>
        <w:spacing w:after="135"/>
        <w:rPr>
          <w:rFonts w:eastAsia="Times New Roman" w:cs="Arial"/>
          <w:b/>
          <w:bCs/>
          <w:color w:val="ED7D31" w:themeColor="accent2"/>
        </w:rPr>
      </w:pPr>
      <w:r w:rsidRPr="00254F66">
        <w:rPr>
          <w:rFonts w:eastAsia="Times New Roman" w:cs="Arial"/>
          <w:b/>
          <w:bCs/>
        </w:rPr>
        <w:t xml:space="preserve">Definition: </w:t>
      </w:r>
      <w:proofErr w:type="gramStart"/>
      <w:r w:rsidRPr="00254F66">
        <w:rPr>
          <w:rFonts w:eastAsia="Times New Roman" w:cs="Arial"/>
        </w:rPr>
        <w:t>In order for</w:t>
      </w:r>
      <w:proofErr w:type="gramEnd"/>
      <w:r w:rsidRPr="00254F66">
        <w:rPr>
          <w:rFonts w:eastAsia="Times New Roman" w:cs="Arial"/>
        </w:rPr>
        <w:t xml:space="preserve"> persons with a disability to fulfill all of their rights, </w:t>
      </w:r>
      <w:r>
        <w:rPr>
          <w:rFonts w:eastAsia="Times New Roman" w:cs="Arial"/>
        </w:rPr>
        <w:t xml:space="preserve">it can be helpful to </w:t>
      </w:r>
      <w:r w:rsidRPr="00254F66">
        <w:rPr>
          <w:rFonts w:eastAsia="Times New Roman" w:cs="Arial"/>
        </w:rPr>
        <w:t>access advocacy services</w:t>
      </w:r>
      <w:r>
        <w:rPr>
          <w:rFonts w:eastAsia="Times New Roman" w:cs="Arial"/>
        </w:rPr>
        <w:t xml:space="preserve"> to speak on your behalf or to support your voice to be heard.</w:t>
      </w:r>
      <w:r w:rsidRPr="00254F66">
        <w:rPr>
          <w:rFonts w:eastAsia="Times New Roman" w:cs="Arial"/>
          <w:i/>
          <w:iCs/>
        </w:rPr>
        <w:t xml:space="preserve"> </w:t>
      </w:r>
      <w:r w:rsidRPr="00B31D61">
        <w:rPr>
          <w:rFonts w:eastAsia="Times New Roman" w:cs="Arial"/>
          <w:i/>
          <w:iCs/>
          <w:lang w:val="en-AU"/>
        </w:rPr>
        <w:t>Advocacy</w:t>
      </w:r>
      <w:r w:rsidRPr="00B31D61">
        <w:rPr>
          <w:rFonts w:eastAsia="Times New Roman" w:cs="Arial"/>
          <w:lang w:val="en-AU"/>
        </w:rPr>
        <w:t xml:space="preserve"> is a service provided by an independent p</w:t>
      </w:r>
      <w:r>
        <w:rPr>
          <w:rFonts w:eastAsia="Times New Roman" w:cs="Arial"/>
          <w:lang w:val="en-AU"/>
        </w:rPr>
        <w:t>erson/ service provider</w:t>
      </w:r>
      <w:r w:rsidRPr="00B31D61">
        <w:rPr>
          <w:rFonts w:eastAsia="Times New Roman" w:cs="Arial"/>
          <w:lang w:val="en-AU"/>
        </w:rPr>
        <w:t xml:space="preserve"> to ensure a person’s rights are respected and upheld.</w:t>
      </w:r>
    </w:p>
    <w:p w14:paraId="27631347" w14:textId="7B6A4ADE" w:rsidR="00254F66" w:rsidRDefault="00254F66" w:rsidP="00254F66">
      <w:pPr>
        <w:shd w:val="clear" w:color="auto" w:fill="FFFFFF"/>
        <w:spacing w:after="135"/>
        <w:rPr>
          <w:rFonts w:eastAsia="Times New Roman" w:cs="Arial"/>
          <w:color w:val="ED7D31" w:themeColor="accent2"/>
        </w:rPr>
      </w:pPr>
      <w:r w:rsidRPr="002B1226">
        <w:rPr>
          <w:rFonts w:eastAsia="Times New Roman" w:cs="Arial"/>
          <w:b/>
          <w:bCs/>
          <w:color w:val="ED7D31" w:themeColor="accent2"/>
        </w:rPr>
        <w:t>Mission Statement:</w:t>
      </w:r>
      <w:r>
        <w:rPr>
          <w:rFonts w:eastAsia="Times New Roman" w:cs="Arial"/>
          <w:color w:val="ED7D31" w:themeColor="accent2"/>
        </w:rPr>
        <w:t xml:space="preserve"> </w:t>
      </w:r>
      <w:r w:rsidRPr="002B559C">
        <w:rPr>
          <w:rFonts w:eastAsia="Times New Roman" w:cs="Arial"/>
          <w:color w:val="ED7D31" w:themeColor="accent2"/>
        </w:rPr>
        <w:t>The mission of </w:t>
      </w:r>
      <w:r w:rsidRPr="002B559C">
        <w:rPr>
          <w:rFonts w:eastAsia="Times New Roman" w:cs="Arial"/>
          <w:i/>
          <w:iCs/>
          <w:color w:val="ED7D31" w:themeColor="accent2"/>
        </w:rPr>
        <w:t>Specialist </w:t>
      </w:r>
      <w:proofErr w:type="spellStart"/>
      <w:r w:rsidRPr="002B559C">
        <w:rPr>
          <w:rFonts w:eastAsia="Times New Roman" w:cs="Arial"/>
          <w:i/>
          <w:iCs/>
          <w:color w:val="ED7D31" w:themeColor="accent2"/>
        </w:rPr>
        <w:t>Behavioural</w:t>
      </w:r>
      <w:proofErr w:type="spellEnd"/>
      <w:r w:rsidRPr="002B559C">
        <w:rPr>
          <w:rFonts w:eastAsia="Times New Roman" w:cs="Arial"/>
          <w:i/>
          <w:iCs/>
          <w:color w:val="ED7D31" w:themeColor="accent2"/>
        </w:rPr>
        <w:t> Support Services (SBSS) </w:t>
      </w:r>
      <w:r w:rsidRPr="002B559C">
        <w:rPr>
          <w:rFonts w:eastAsia="Times New Roman" w:cs="Arial"/>
          <w:color w:val="ED7D31" w:themeColor="accent2"/>
        </w:rPr>
        <w:t xml:space="preserve">is to support </w:t>
      </w:r>
      <w:r>
        <w:rPr>
          <w:rFonts w:eastAsia="Times New Roman" w:cs="Arial"/>
          <w:color w:val="ED7D31" w:themeColor="accent2"/>
        </w:rPr>
        <w:t xml:space="preserve">society’s most </w:t>
      </w:r>
      <w:r w:rsidRPr="002B559C">
        <w:rPr>
          <w:rFonts w:eastAsia="Times New Roman" w:cs="Arial"/>
          <w:color w:val="ED7D31" w:themeColor="accent2"/>
        </w:rPr>
        <w:t xml:space="preserve">vulnerable individuals </w:t>
      </w:r>
      <w:r>
        <w:rPr>
          <w:rFonts w:eastAsia="Times New Roman" w:cs="Arial"/>
          <w:color w:val="ED7D31" w:themeColor="accent2"/>
        </w:rPr>
        <w:t xml:space="preserve">to </w:t>
      </w:r>
      <w:r w:rsidRPr="002B559C">
        <w:rPr>
          <w:rFonts w:eastAsia="Times New Roman" w:cs="Arial"/>
          <w:color w:val="ED7D31" w:themeColor="accent2"/>
        </w:rPr>
        <w:t xml:space="preserve">live in a way which promotes </w:t>
      </w:r>
      <w:r>
        <w:rPr>
          <w:rFonts w:eastAsia="Times New Roman" w:cs="Arial"/>
          <w:color w:val="ED7D31" w:themeColor="accent2"/>
        </w:rPr>
        <w:t>optimal</w:t>
      </w:r>
      <w:r w:rsidRPr="002B559C">
        <w:rPr>
          <w:rFonts w:eastAsia="Times New Roman" w:cs="Arial"/>
          <w:color w:val="ED7D31" w:themeColor="accent2"/>
        </w:rPr>
        <w:t xml:space="preserve"> level</w:t>
      </w:r>
      <w:r>
        <w:rPr>
          <w:rFonts w:eastAsia="Times New Roman" w:cs="Arial"/>
          <w:color w:val="ED7D31" w:themeColor="accent2"/>
        </w:rPr>
        <w:t>s</w:t>
      </w:r>
      <w:r w:rsidRPr="002B559C">
        <w:rPr>
          <w:rFonts w:eastAsia="Times New Roman" w:cs="Arial"/>
          <w:color w:val="ED7D31" w:themeColor="accent2"/>
        </w:rPr>
        <w:t xml:space="preserve"> of independenc</w:t>
      </w:r>
      <w:r>
        <w:rPr>
          <w:rFonts w:eastAsia="Times New Roman" w:cs="Arial"/>
          <w:color w:val="ED7D31" w:themeColor="accent2"/>
        </w:rPr>
        <w:t xml:space="preserve">e, </w:t>
      </w:r>
      <w:r w:rsidRPr="002B559C">
        <w:rPr>
          <w:rFonts w:eastAsia="Times New Roman" w:cs="Arial"/>
          <w:color w:val="ED7D31" w:themeColor="accent2"/>
        </w:rPr>
        <w:t xml:space="preserve">freedom from unnecessary restrictions and </w:t>
      </w:r>
      <w:r>
        <w:rPr>
          <w:rFonts w:eastAsia="Times New Roman" w:cs="Arial"/>
          <w:color w:val="ED7D31" w:themeColor="accent2"/>
        </w:rPr>
        <w:t>as a meaningful part of their local and wider community.</w:t>
      </w:r>
    </w:p>
    <w:p w14:paraId="25DD463F" w14:textId="77777777" w:rsidR="00671F43" w:rsidRDefault="00254F66" w:rsidP="00254F66">
      <w:pPr>
        <w:spacing w:before="192" w:after="192" w:line="384" w:lineRule="atLeast"/>
        <w:rPr>
          <w:rFonts w:ascii="Arial" w:eastAsia="Times New Roman" w:hAnsi="Arial" w:cs="Arial"/>
          <w:color w:val="222222"/>
          <w:lang w:val="en-AU" w:eastAsia="en-GB"/>
        </w:rPr>
      </w:pPr>
      <w:r w:rsidRPr="00254F66">
        <w:rPr>
          <w:rFonts w:eastAsia="Times New Roman" w:cs="Arial"/>
          <w:b/>
          <w:bCs/>
        </w:rPr>
        <w:t>Context:</w:t>
      </w:r>
      <w:r w:rsidRPr="00254F66">
        <w:rPr>
          <w:rFonts w:eastAsia="Times New Roman" w:cs="Arial"/>
        </w:rPr>
        <w:t xml:space="preserve"> </w:t>
      </w:r>
      <w:r w:rsidRPr="002308F3">
        <w:rPr>
          <w:rFonts w:ascii="Arial" w:eastAsia="Times New Roman" w:hAnsi="Arial" w:cs="Arial"/>
          <w:color w:val="222222"/>
          <w:lang w:val="en-AU" w:eastAsia="en-GB"/>
        </w:rPr>
        <w:t xml:space="preserve">The NDIS Quality and Safeguards Commission is an independent agency established to improve the quality and safety of NDIS supports and services. The NDIS Commission regulates </w:t>
      </w:r>
      <w:r>
        <w:rPr>
          <w:rFonts w:ascii="Arial" w:eastAsia="Times New Roman" w:hAnsi="Arial" w:cs="Arial"/>
          <w:color w:val="222222"/>
          <w:lang w:val="en-AU" w:eastAsia="en-GB"/>
        </w:rPr>
        <w:t>service providers, such as SBSS, and</w:t>
      </w:r>
      <w:r w:rsidRPr="002308F3">
        <w:rPr>
          <w:rFonts w:ascii="Arial" w:eastAsia="Times New Roman" w:hAnsi="Arial" w:cs="Arial"/>
          <w:color w:val="222222"/>
          <w:lang w:val="en-AU" w:eastAsia="en-GB"/>
        </w:rPr>
        <w:t xml:space="preserve"> handles complaints about the quality and safety of NDIS supports and services.</w:t>
      </w:r>
      <w:r>
        <w:rPr>
          <w:rFonts w:ascii="Arial" w:eastAsia="Times New Roman" w:hAnsi="Arial" w:cs="Arial"/>
          <w:color w:val="222222"/>
          <w:lang w:val="en-AU" w:eastAsia="en-GB"/>
        </w:rPr>
        <w:t xml:space="preserve"> The NDIS Commission has developed </w:t>
      </w:r>
      <w:r w:rsidR="00671F43">
        <w:rPr>
          <w:rFonts w:ascii="Arial" w:eastAsia="Times New Roman" w:hAnsi="Arial" w:cs="Arial"/>
          <w:color w:val="222222"/>
          <w:lang w:val="en-AU" w:eastAsia="en-GB"/>
        </w:rPr>
        <w:t xml:space="preserve">a set of practice standards for agencies that want to continue to provide services under NDIS. As part of those standards includes information about how to uphold a person with a disability’s rights and responsibilities, this includes their access to advocacy. </w:t>
      </w:r>
    </w:p>
    <w:p w14:paraId="28AE6A58" w14:textId="32CC61A3" w:rsidR="00254F66" w:rsidRDefault="00254F66" w:rsidP="00254F66">
      <w:pPr>
        <w:shd w:val="clear" w:color="auto" w:fill="FFFFFF"/>
        <w:spacing w:after="135"/>
        <w:jc w:val="center"/>
        <w:rPr>
          <w:rFonts w:eastAsia="Times New Roman" w:cs="Arial"/>
          <w:b/>
          <w:bCs/>
          <w:lang w:val="en-AU"/>
        </w:rPr>
      </w:pPr>
      <w:r w:rsidRPr="00975C0F">
        <w:rPr>
          <w:rFonts w:eastAsia="Times New Roman" w:cs="Arial"/>
          <w:b/>
          <w:bCs/>
          <w:lang w:val="en-AU"/>
        </w:rPr>
        <w:t>Our Advocacy Commitment</w:t>
      </w:r>
    </w:p>
    <w:p w14:paraId="65CA7F2E" w14:textId="1D02FD9D" w:rsidR="00671F43" w:rsidRPr="00671F43" w:rsidRDefault="00671F43" w:rsidP="00671F43">
      <w:pPr>
        <w:spacing w:before="192" w:after="192" w:line="384" w:lineRule="atLeast"/>
        <w:rPr>
          <w:rFonts w:ascii="Arial" w:eastAsia="Times New Roman" w:hAnsi="Arial" w:cs="Arial"/>
          <w:color w:val="222222"/>
          <w:lang w:val="en-AU" w:eastAsia="en-GB"/>
        </w:rPr>
      </w:pPr>
      <w:r>
        <w:rPr>
          <w:rFonts w:ascii="Arial" w:eastAsia="Times New Roman" w:hAnsi="Arial" w:cs="Arial"/>
          <w:color w:val="222222"/>
          <w:lang w:val="en-AU" w:eastAsia="en-GB"/>
        </w:rPr>
        <w:t xml:space="preserve">SBSS is committed to ensure that any person receiving behavioural support from us is provided information and support to access advocacy. We will proactively examine the vulnerability of </w:t>
      </w:r>
      <w:proofErr w:type="gramStart"/>
      <w:r>
        <w:rPr>
          <w:rFonts w:ascii="Arial" w:eastAsia="Times New Roman" w:hAnsi="Arial" w:cs="Arial"/>
          <w:color w:val="222222"/>
          <w:lang w:val="en-AU" w:eastAsia="en-GB"/>
        </w:rPr>
        <w:t>all of</w:t>
      </w:r>
      <w:proofErr w:type="gramEnd"/>
      <w:r>
        <w:rPr>
          <w:rFonts w:ascii="Arial" w:eastAsia="Times New Roman" w:hAnsi="Arial" w:cs="Arial"/>
          <w:color w:val="222222"/>
          <w:lang w:val="en-AU" w:eastAsia="en-GB"/>
        </w:rPr>
        <w:t xml:space="preserve"> our clients and promote advocacy from the outset of our service delivery. </w:t>
      </w:r>
    </w:p>
    <w:p w14:paraId="4C08EF1C" w14:textId="3736BD11" w:rsidR="00254F66" w:rsidRPr="00975C0F" w:rsidRDefault="00254F66" w:rsidP="00254F66">
      <w:pPr>
        <w:shd w:val="clear" w:color="auto" w:fill="FFFFFF"/>
        <w:spacing w:after="135"/>
        <w:rPr>
          <w:rFonts w:eastAsia="Times New Roman" w:cs="Arial"/>
          <w:b/>
          <w:bCs/>
          <w:lang w:val="en-AU"/>
        </w:rPr>
      </w:pPr>
      <w:r>
        <w:rPr>
          <w:rFonts w:eastAsia="Times New Roman" w:cs="Arial"/>
          <w:b/>
          <w:bCs/>
          <w:lang w:val="en-AU"/>
        </w:rPr>
        <w:t>Policy Procedures</w:t>
      </w:r>
    </w:p>
    <w:p w14:paraId="46327255" w14:textId="2C239C77" w:rsidR="00254F66" w:rsidRDefault="00254F66" w:rsidP="00671F43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 w:rsidRPr="00671F43">
        <w:rPr>
          <w:rFonts w:eastAsia="Times New Roman" w:cs="Times New Roman"/>
          <w:color w:val="333333"/>
          <w:lang w:eastAsia="en-GB"/>
        </w:rPr>
        <w:t>upon commencing services, new participants are informed of the role of advocates, their right to use advocates and advocacy services, and how to contact and involve advocacy agencies</w:t>
      </w:r>
      <w:r w:rsidR="00671F43">
        <w:rPr>
          <w:rFonts w:eastAsia="Times New Roman" w:cs="Times New Roman"/>
          <w:color w:val="333333"/>
          <w:lang w:eastAsia="en-GB"/>
        </w:rPr>
        <w:t xml:space="preserve">. </w:t>
      </w:r>
    </w:p>
    <w:p w14:paraId="6D363D52" w14:textId="3BA93125" w:rsidR="00671F43" w:rsidRPr="00671F43" w:rsidRDefault="00671F43" w:rsidP="00671F43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>
        <w:rPr>
          <w:rFonts w:eastAsia="Times New Roman" w:cs="Times New Roman"/>
          <w:color w:val="333333"/>
          <w:lang w:eastAsia="en-GB"/>
        </w:rPr>
        <w:t xml:space="preserve">participants will be provided a list of different advocacy agencies within their introduction pack. </w:t>
      </w:r>
    </w:p>
    <w:p w14:paraId="185901D8" w14:textId="77777777" w:rsidR="00254F66" w:rsidRPr="00671F43" w:rsidRDefault="00254F66" w:rsidP="00671F4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 w:rsidRPr="00671F43">
        <w:rPr>
          <w:rFonts w:eastAsia="Times New Roman" w:cs="Times New Roman"/>
          <w:color w:val="333333"/>
          <w:lang w:eastAsia="en-GB"/>
        </w:rPr>
        <w:lastRenderedPageBreak/>
        <w:t>participants are supported if they choose to self-advocate, change advocates, or withdraw their authority for an advocate</w:t>
      </w:r>
    </w:p>
    <w:p w14:paraId="29A88294" w14:textId="77777777" w:rsidR="00254F66" w:rsidRPr="00671F43" w:rsidRDefault="00254F66" w:rsidP="00671F4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 w:rsidRPr="00671F43">
        <w:rPr>
          <w:rFonts w:eastAsia="Times New Roman" w:cs="Times New Roman"/>
          <w:color w:val="333333"/>
          <w:lang w:eastAsia="en-GB"/>
        </w:rPr>
        <w:t xml:space="preserve">if a participant needs an advocate and a family or </w:t>
      </w:r>
      <w:proofErr w:type="spellStart"/>
      <w:r w:rsidRPr="00671F43">
        <w:rPr>
          <w:rFonts w:eastAsia="Times New Roman" w:cs="Times New Roman"/>
          <w:color w:val="333333"/>
          <w:lang w:eastAsia="en-GB"/>
        </w:rPr>
        <w:t>carer</w:t>
      </w:r>
      <w:proofErr w:type="spellEnd"/>
      <w:r w:rsidRPr="00671F43">
        <w:rPr>
          <w:rFonts w:eastAsia="Times New Roman" w:cs="Times New Roman"/>
          <w:color w:val="333333"/>
          <w:lang w:eastAsia="en-GB"/>
        </w:rPr>
        <w:t xml:space="preserve"> cannot provide it, we will attempt to introduce an advocate chosen by the participant</w:t>
      </w:r>
    </w:p>
    <w:p w14:paraId="40A629B4" w14:textId="2F138952" w:rsidR="00254F66" w:rsidRPr="00671F43" w:rsidRDefault="00254F66" w:rsidP="00671F4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 w:rsidRPr="00671F43">
        <w:rPr>
          <w:rFonts w:eastAsia="Times New Roman" w:cs="Times New Roman"/>
          <w:color w:val="333333"/>
          <w:lang w:eastAsia="en-GB"/>
        </w:rPr>
        <w:t xml:space="preserve">if a participant requests </w:t>
      </w:r>
      <w:r w:rsidR="00671F43">
        <w:rPr>
          <w:rFonts w:eastAsia="Times New Roman" w:cs="Times New Roman"/>
          <w:color w:val="333333"/>
          <w:lang w:eastAsia="en-GB"/>
        </w:rPr>
        <w:t xml:space="preserve">SBSS </w:t>
      </w:r>
      <w:r w:rsidRPr="00671F43">
        <w:rPr>
          <w:rFonts w:eastAsia="Times New Roman" w:cs="Times New Roman"/>
          <w:color w:val="333333"/>
          <w:lang w:eastAsia="en-GB"/>
        </w:rPr>
        <w:t>to be an advocate, their authority to act is recorded along with the issues important to the participant and their goals</w:t>
      </w:r>
    </w:p>
    <w:p w14:paraId="419AB23C" w14:textId="77777777" w:rsidR="00254F66" w:rsidRPr="00671F43" w:rsidRDefault="00254F66" w:rsidP="00671F4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 w:rsidRPr="00671F43">
        <w:rPr>
          <w:rFonts w:eastAsia="Times New Roman" w:cs="Times New Roman"/>
          <w:color w:val="333333"/>
          <w:lang w:eastAsia="en-GB"/>
        </w:rPr>
        <w:t>we will work with the advocate chosen by a participant and involve the advocate in all areas of the participant’s service planning and decision making</w:t>
      </w:r>
    </w:p>
    <w:p w14:paraId="66B48B73" w14:textId="77777777" w:rsidR="00254F66" w:rsidRPr="00671F43" w:rsidRDefault="00254F66" w:rsidP="00671F43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color w:val="333333"/>
          <w:lang w:eastAsia="en-GB"/>
        </w:rPr>
      </w:pPr>
      <w:r w:rsidRPr="00671F43">
        <w:rPr>
          <w:rFonts w:eastAsia="Times New Roman" w:cs="Times New Roman"/>
          <w:color w:val="333333"/>
          <w:lang w:eastAsia="en-GB"/>
        </w:rPr>
        <w:t>whenever a participant is assisted by an advocate, we will document this.</w:t>
      </w:r>
    </w:p>
    <w:p w14:paraId="127C3BBD" w14:textId="77777777" w:rsidR="00671F43" w:rsidRDefault="00671F43" w:rsidP="009567DD">
      <w:pPr>
        <w:shd w:val="clear" w:color="auto" w:fill="FFFFFF"/>
        <w:spacing w:after="135"/>
        <w:ind w:left="360"/>
        <w:jc w:val="center"/>
        <w:rPr>
          <w:rFonts w:eastAsia="Times New Roman" w:cs="Arial"/>
          <w:b/>
          <w:color w:val="000000" w:themeColor="text1"/>
          <w:lang w:val="en-AU"/>
        </w:rPr>
      </w:pPr>
    </w:p>
    <w:p w14:paraId="4ECB9ED6" w14:textId="77777777" w:rsidR="00671F43" w:rsidRDefault="00671F43" w:rsidP="009567DD">
      <w:pPr>
        <w:shd w:val="clear" w:color="auto" w:fill="FFFFFF"/>
        <w:spacing w:after="135"/>
        <w:ind w:left="360"/>
        <w:jc w:val="center"/>
        <w:rPr>
          <w:rFonts w:eastAsia="Times New Roman" w:cs="Arial"/>
          <w:b/>
          <w:bCs/>
          <w:color w:val="000000" w:themeColor="text1"/>
          <w:lang w:val="en-AU"/>
        </w:rPr>
      </w:pPr>
    </w:p>
    <w:p w14:paraId="7A9A21CC" w14:textId="430C6D58" w:rsidR="009567DD" w:rsidRDefault="009567DD" w:rsidP="009567DD">
      <w:pPr>
        <w:shd w:val="clear" w:color="auto" w:fill="FFFFFF"/>
        <w:spacing w:after="135"/>
        <w:ind w:left="360"/>
        <w:jc w:val="center"/>
        <w:rPr>
          <w:rFonts w:eastAsia="Times New Roman" w:cs="Arial"/>
          <w:b/>
          <w:bCs/>
          <w:color w:val="000000" w:themeColor="text1"/>
          <w:lang w:val="en-AU"/>
        </w:rPr>
      </w:pPr>
      <w:r>
        <w:rPr>
          <w:rFonts w:eastAsia="Times New Roman" w:cs="Arial"/>
          <w:b/>
          <w:bCs/>
          <w:color w:val="000000" w:themeColor="text1"/>
          <w:lang w:val="en-AU"/>
        </w:rPr>
        <w:t xml:space="preserve">Supporting </w:t>
      </w:r>
      <w:r w:rsidRPr="009567DD">
        <w:rPr>
          <w:rFonts w:eastAsia="Times New Roman" w:cs="Arial"/>
          <w:b/>
          <w:bCs/>
          <w:color w:val="000000" w:themeColor="text1"/>
          <w:lang w:val="en-AU"/>
        </w:rPr>
        <w:t xml:space="preserve">Forms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63"/>
        <w:gridCol w:w="6365"/>
      </w:tblGrid>
      <w:tr w:rsidR="009567DD" w14:paraId="504E5104" w14:textId="77777777" w:rsidTr="009567DD">
        <w:tc>
          <w:tcPr>
            <w:tcW w:w="3463" w:type="dxa"/>
          </w:tcPr>
          <w:p w14:paraId="4A14B437" w14:textId="20E299C4" w:rsidR="009567DD" w:rsidRDefault="009567DD" w:rsidP="009567DD">
            <w:pPr>
              <w:spacing w:after="135"/>
              <w:jc w:val="center"/>
              <w:rPr>
                <w:rFonts w:eastAsia="Times New Roman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val="en-AU"/>
              </w:rPr>
              <w:t>Form</w:t>
            </w:r>
          </w:p>
        </w:tc>
        <w:tc>
          <w:tcPr>
            <w:tcW w:w="6365" w:type="dxa"/>
          </w:tcPr>
          <w:p w14:paraId="17526DE3" w14:textId="7D9EC825" w:rsidR="009567DD" w:rsidRDefault="009567DD" w:rsidP="009567DD">
            <w:pPr>
              <w:spacing w:after="135"/>
              <w:jc w:val="center"/>
              <w:rPr>
                <w:rFonts w:eastAsia="Times New Roman" w:cs="Arial"/>
                <w:b/>
                <w:bCs/>
                <w:color w:val="000000" w:themeColor="text1"/>
                <w:lang w:val="en-AU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val="en-AU"/>
              </w:rPr>
              <w:t xml:space="preserve"> Application </w:t>
            </w:r>
          </w:p>
        </w:tc>
      </w:tr>
      <w:tr w:rsidR="009567DD" w14:paraId="1CE06883" w14:textId="77777777" w:rsidTr="009567DD">
        <w:tc>
          <w:tcPr>
            <w:tcW w:w="3463" w:type="dxa"/>
          </w:tcPr>
          <w:p w14:paraId="6786DF17" w14:textId="146E466E" w:rsidR="009567DD" w:rsidRPr="009567DD" w:rsidRDefault="00671F43" w:rsidP="009567DD">
            <w:pPr>
              <w:spacing w:after="135"/>
              <w:jc w:val="center"/>
              <w:rPr>
                <w:rFonts w:eastAsia="Times New Roman" w:cs="Arial"/>
                <w:color w:val="000000" w:themeColor="text1"/>
                <w:lang w:val="en-AU"/>
              </w:rPr>
            </w:pPr>
            <w:r>
              <w:rPr>
                <w:rFonts w:eastAsia="Times New Roman" w:cs="Arial"/>
                <w:color w:val="000000" w:themeColor="text1"/>
                <w:lang w:val="en-AU"/>
              </w:rPr>
              <w:t xml:space="preserve">Advocacy Supports </w:t>
            </w:r>
            <w:r w:rsidR="009567DD" w:rsidRPr="009567DD">
              <w:rPr>
                <w:rFonts w:eastAsia="Times New Roman" w:cs="Arial"/>
                <w:color w:val="000000" w:themeColor="text1"/>
                <w:lang w:val="en-AU"/>
              </w:rPr>
              <w:t xml:space="preserve"> </w:t>
            </w:r>
          </w:p>
        </w:tc>
        <w:tc>
          <w:tcPr>
            <w:tcW w:w="6365" w:type="dxa"/>
          </w:tcPr>
          <w:p w14:paraId="3C2970FD" w14:textId="0C96171B" w:rsidR="009567DD" w:rsidRPr="009567DD" w:rsidRDefault="00671F43" w:rsidP="009567DD">
            <w:pPr>
              <w:spacing w:after="135"/>
              <w:jc w:val="center"/>
              <w:rPr>
                <w:rFonts w:eastAsia="Times New Roman" w:cs="Arial"/>
                <w:i/>
                <w:iCs/>
                <w:color w:val="000000" w:themeColor="text1"/>
                <w:lang w:val="en-AU"/>
              </w:rPr>
            </w:pPr>
            <w:r>
              <w:rPr>
                <w:rFonts w:eastAsia="Times New Roman" w:cs="Arial"/>
                <w:i/>
                <w:iCs/>
                <w:color w:val="000000" w:themeColor="text1"/>
                <w:lang w:val="en-AU"/>
              </w:rPr>
              <w:t>To be provided as part within the participant’s introduction pack</w:t>
            </w:r>
          </w:p>
        </w:tc>
      </w:tr>
    </w:tbl>
    <w:p w14:paraId="4C6FEDD1" w14:textId="7C05AA86" w:rsidR="221AE565" w:rsidRDefault="221AE565" w:rsidP="221AE565">
      <w:pPr>
        <w:spacing w:after="160" w:line="240" w:lineRule="auto"/>
        <w:rPr>
          <w:rFonts w:eastAsia="Helvetica Neue" w:cs="Helvetica Neue"/>
        </w:rPr>
      </w:pPr>
    </w:p>
    <w:p w14:paraId="19CB0BCC" w14:textId="63E542E3" w:rsidR="221AE565" w:rsidRDefault="221AE565" w:rsidP="064B708E">
      <w:pPr>
        <w:spacing w:after="160" w:line="240" w:lineRule="auto"/>
        <w:ind w:hanging="709"/>
        <w:rPr>
          <w:rFonts w:eastAsia="Helvetica Neue" w:cs="Helvetica Neu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98"/>
      </w:tblGrid>
      <w:tr w:rsidR="221AE565" w14:paraId="33ECCB07" w14:textId="77777777" w:rsidTr="064B708E">
        <w:tc>
          <w:tcPr>
            <w:tcW w:w="10198" w:type="dxa"/>
          </w:tcPr>
          <w:p w14:paraId="644A2116" w14:textId="6EF24079" w:rsidR="221AE565" w:rsidRDefault="221AE565" w:rsidP="661E7B99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  <w:tr w:rsidR="221AE565" w14:paraId="37D41CBF" w14:textId="77777777" w:rsidTr="064B708E">
        <w:tc>
          <w:tcPr>
            <w:tcW w:w="10198" w:type="dxa"/>
          </w:tcPr>
          <w:p w14:paraId="3374C208" w14:textId="6E7BC7D4" w:rsidR="221AE565" w:rsidRDefault="221AE565" w:rsidP="221AE565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  <w:tr w:rsidR="221AE565" w14:paraId="0735CA3B" w14:textId="77777777" w:rsidTr="064B708E">
        <w:tc>
          <w:tcPr>
            <w:tcW w:w="10198" w:type="dxa"/>
          </w:tcPr>
          <w:p w14:paraId="3CFE08FE" w14:textId="6E735C99" w:rsidR="221AE565" w:rsidRDefault="221AE565" w:rsidP="221AE565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  <w:tr w:rsidR="221AE565" w14:paraId="70745B8B" w14:textId="77777777" w:rsidTr="064B708E">
        <w:tc>
          <w:tcPr>
            <w:tcW w:w="10198" w:type="dxa"/>
          </w:tcPr>
          <w:p w14:paraId="05442966" w14:textId="400D323C" w:rsidR="221AE565" w:rsidRDefault="221AE565" w:rsidP="221AE565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  <w:tr w:rsidR="221AE565" w14:paraId="0DC6A407" w14:textId="77777777" w:rsidTr="064B708E">
        <w:tc>
          <w:tcPr>
            <w:tcW w:w="10198" w:type="dxa"/>
          </w:tcPr>
          <w:p w14:paraId="41C60F46" w14:textId="5131A7FA" w:rsidR="221AE565" w:rsidRDefault="221AE565" w:rsidP="221AE565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  <w:tr w:rsidR="221AE565" w14:paraId="5736B8A0" w14:textId="77777777" w:rsidTr="064B708E">
        <w:tc>
          <w:tcPr>
            <w:tcW w:w="10198" w:type="dxa"/>
          </w:tcPr>
          <w:p w14:paraId="76122BC6" w14:textId="52931897" w:rsidR="221AE565" w:rsidRDefault="221AE565" w:rsidP="221AE565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  <w:tr w:rsidR="221AE565" w14:paraId="4CB6E5E8" w14:textId="77777777" w:rsidTr="064B708E">
        <w:tc>
          <w:tcPr>
            <w:tcW w:w="10198" w:type="dxa"/>
          </w:tcPr>
          <w:p w14:paraId="430489A0" w14:textId="680CC607" w:rsidR="221AE565" w:rsidRDefault="221AE565" w:rsidP="221AE565">
            <w:pPr>
              <w:spacing w:line="240" w:lineRule="auto"/>
              <w:rPr>
                <w:rFonts w:eastAsia="Helvetica Neue" w:cs="Helvetica Neue"/>
                <w:color w:val="FF0000"/>
              </w:rPr>
            </w:pPr>
          </w:p>
        </w:tc>
      </w:tr>
    </w:tbl>
    <w:p w14:paraId="2987478F" w14:textId="723158CE" w:rsidR="221AE565" w:rsidRDefault="221AE565" w:rsidP="221AE565">
      <w:pPr>
        <w:spacing w:after="160" w:line="240" w:lineRule="auto"/>
        <w:rPr>
          <w:rFonts w:eastAsia="Helvetica Neue" w:cs="Helvetica Neue"/>
        </w:rPr>
      </w:pPr>
    </w:p>
    <w:p w14:paraId="7F2D45BE" w14:textId="2E852C5E" w:rsidR="221AE565" w:rsidRDefault="221AE565" w:rsidP="064B708E">
      <w:pPr>
        <w:spacing w:after="160" w:line="240" w:lineRule="auto"/>
        <w:ind w:hanging="709"/>
        <w:rPr>
          <w:rFonts w:eastAsia="Helvetica Neue" w:cs="Helvetica Neue"/>
          <w:i/>
          <w:iCs/>
        </w:rPr>
      </w:pPr>
    </w:p>
    <w:sectPr w:rsidR="221AE565" w:rsidSect="00B0534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851" w:right="851" w:bottom="652" w:left="851" w:header="851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8152" w14:textId="77777777" w:rsidR="004014CC" w:rsidRDefault="004014CC" w:rsidP="004D6339">
      <w:pPr>
        <w:spacing w:after="0" w:line="240" w:lineRule="auto"/>
      </w:pPr>
      <w:r>
        <w:separator/>
      </w:r>
    </w:p>
  </w:endnote>
  <w:endnote w:type="continuationSeparator" w:id="0">
    <w:p w14:paraId="577754B3" w14:textId="77777777" w:rsidR="004014CC" w:rsidRDefault="004014CC" w:rsidP="004D6339">
      <w:pPr>
        <w:spacing w:after="0" w:line="240" w:lineRule="auto"/>
      </w:pPr>
      <w:r>
        <w:continuationSeparator/>
      </w:r>
    </w:p>
  </w:endnote>
  <w:endnote w:type="continuationNotice" w:id="1">
    <w:p w14:paraId="4FF0EE02" w14:textId="77777777" w:rsidR="004014CC" w:rsidRDefault="00401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70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10198"/>
    </w:tblGrid>
    <w:tr w:rsidR="00B05347" w14:paraId="7CFEDA98" w14:textId="77777777" w:rsidTr="2CA226E1">
      <w:trPr>
        <w:jc w:val="center"/>
      </w:trPr>
      <w:tc>
        <w:tcPr>
          <w:tcW w:w="10198" w:type="dxa"/>
        </w:tcPr>
        <w:p w14:paraId="53B25F4C" w14:textId="30B961B5" w:rsidR="00B05347" w:rsidRPr="005B0F8E" w:rsidRDefault="2CA226E1" w:rsidP="00B05347">
          <w:pPr>
            <w:pStyle w:val="Footer"/>
            <w:jc w:val="right"/>
          </w:pPr>
          <w:r>
            <w:t xml:space="preserve">Version 1. Page </w:t>
          </w:r>
          <w:r w:rsidR="00B05347">
            <w:fldChar w:fldCharType="begin"/>
          </w:r>
          <w:r w:rsidR="00B05347">
            <w:instrText xml:space="preserve"> PAGE  \* MERGEFORMAT </w:instrText>
          </w:r>
          <w:r w:rsidR="00B05347">
            <w:fldChar w:fldCharType="separate"/>
          </w:r>
          <w:r>
            <w:t>1</w:t>
          </w:r>
          <w:r w:rsidR="00B05347">
            <w:fldChar w:fldCharType="end"/>
          </w:r>
          <w:r>
            <w:t xml:space="preserve"> of </w:t>
          </w:r>
          <w:fldSimple w:instr="NUMPAGES  \* MERGEFORMAT">
            <w:r>
              <w:t>1</w:t>
            </w:r>
          </w:fldSimple>
        </w:p>
      </w:tc>
    </w:tr>
  </w:tbl>
  <w:p w14:paraId="58150050" w14:textId="77777777" w:rsidR="00B05347" w:rsidRDefault="00B05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262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  <w:left w:w="0" w:type="dxa"/>
        <w:bottom w:w="170" w:type="dxa"/>
        <w:right w:w="0" w:type="dxa"/>
      </w:tblCellMar>
      <w:tblLook w:val="04A0" w:firstRow="1" w:lastRow="0" w:firstColumn="1" w:lastColumn="0" w:noHBand="0" w:noVBand="1"/>
    </w:tblPr>
    <w:tblGrid>
      <w:gridCol w:w="10732"/>
    </w:tblGrid>
    <w:tr w:rsidR="00E66EE3" w:rsidRPr="005B0F8E" w14:paraId="78A7066E" w14:textId="77777777" w:rsidTr="0BF3202C">
      <w:trPr>
        <w:trHeight w:val="793"/>
      </w:trPr>
      <w:tc>
        <w:tcPr>
          <w:tcW w:w="10732" w:type="dxa"/>
          <w:tcBorders>
            <w:top w:val="single" w:sz="4" w:space="0" w:color="595959" w:themeColor="text1" w:themeTint="A6"/>
          </w:tcBorders>
        </w:tcPr>
        <w:p w14:paraId="0357DC59" w14:textId="35697614" w:rsidR="00791BB2" w:rsidRPr="005B0F8E" w:rsidRDefault="00E66EE3" w:rsidP="00791BB2">
          <w:pPr>
            <w:pStyle w:val="Footer"/>
          </w:pPr>
          <w:r>
            <w:rPr>
              <w:b/>
            </w:rPr>
            <w:t>Specialist</w:t>
          </w:r>
          <w:r w:rsidRPr="005B0F8E">
            <w:rPr>
              <w:b/>
            </w:rPr>
            <w:t xml:space="preserve"> </w:t>
          </w:r>
          <w:proofErr w:type="spellStart"/>
          <w:r w:rsidRPr="005B0F8E">
            <w:rPr>
              <w:b/>
            </w:rPr>
            <w:t>Behaviour</w:t>
          </w:r>
          <w:proofErr w:type="spellEnd"/>
          <w:r w:rsidRPr="005B0F8E">
            <w:rPr>
              <w:b/>
            </w:rPr>
            <w:t xml:space="preserve"> Support Services</w:t>
          </w:r>
          <w:r>
            <w:rPr>
              <w:b/>
            </w:rPr>
            <w:t xml:space="preserve">.                                                      </w:t>
          </w:r>
        </w:p>
        <w:p w14:paraId="42071B6E" w14:textId="77777777" w:rsidR="00E66EE3" w:rsidRDefault="00791BB2" w:rsidP="00E66EE3">
          <w:pPr>
            <w:pStyle w:val="Footer"/>
          </w:pPr>
          <w:r>
            <w:t xml:space="preserve">Version 1: Director Approval  </w:t>
          </w:r>
        </w:p>
        <w:p w14:paraId="5AB54F10" w14:textId="76E2ED8E" w:rsidR="00FB01C3" w:rsidRPr="005B0F8E" w:rsidRDefault="0BF3202C" w:rsidP="00E66EE3">
          <w:pPr>
            <w:pStyle w:val="Footer"/>
          </w:pPr>
          <w:r>
            <w:t>Schedule of Review: Bi-annually</w:t>
          </w:r>
        </w:p>
      </w:tc>
    </w:tr>
  </w:tbl>
  <w:p w14:paraId="3AAEA033" w14:textId="77777777" w:rsidR="004D6339" w:rsidRDefault="004D6339" w:rsidP="005B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049A" w14:textId="77777777" w:rsidR="004014CC" w:rsidRDefault="004014CC" w:rsidP="004D6339">
      <w:pPr>
        <w:spacing w:after="0" w:line="240" w:lineRule="auto"/>
      </w:pPr>
      <w:r>
        <w:separator/>
      </w:r>
    </w:p>
  </w:footnote>
  <w:footnote w:type="continuationSeparator" w:id="0">
    <w:p w14:paraId="7509C2D7" w14:textId="77777777" w:rsidR="004014CC" w:rsidRDefault="004014CC" w:rsidP="004D6339">
      <w:pPr>
        <w:spacing w:after="0" w:line="240" w:lineRule="auto"/>
      </w:pPr>
      <w:r>
        <w:continuationSeparator/>
      </w:r>
    </w:p>
  </w:footnote>
  <w:footnote w:type="continuationNotice" w:id="1">
    <w:p w14:paraId="08856958" w14:textId="77777777" w:rsidR="004014CC" w:rsidRDefault="00401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9"/>
      <w:gridCol w:w="3399"/>
      <w:gridCol w:w="3399"/>
    </w:tblGrid>
    <w:tr w:rsidR="2CA226E1" w14:paraId="33CF18D5" w14:textId="77777777" w:rsidTr="2CA226E1">
      <w:tc>
        <w:tcPr>
          <w:tcW w:w="3399" w:type="dxa"/>
        </w:tcPr>
        <w:p w14:paraId="4EB2D36D" w14:textId="516B8C0A" w:rsidR="2CA226E1" w:rsidRDefault="2CA226E1" w:rsidP="2CA226E1">
          <w:pPr>
            <w:pStyle w:val="Header"/>
            <w:ind w:left="-115"/>
          </w:pPr>
        </w:p>
      </w:tc>
      <w:tc>
        <w:tcPr>
          <w:tcW w:w="3399" w:type="dxa"/>
        </w:tcPr>
        <w:p w14:paraId="041BDB7D" w14:textId="67F3977B" w:rsidR="2CA226E1" w:rsidRDefault="2CA226E1" w:rsidP="2CA226E1">
          <w:pPr>
            <w:pStyle w:val="Header"/>
            <w:jc w:val="center"/>
          </w:pPr>
        </w:p>
      </w:tc>
      <w:tc>
        <w:tcPr>
          <w:tcW w:w="3399" w:type="dxa"/>
        </w:tcPr>
        <w:p w14:paraId="036EA483" w14:textId="1DCCBF29" w:rsidR="2CA226E1" w:rsidRDefault="2CA226E1" w:rsidP="2CA226E1">
          <w:pPr>
            <w:pStyle w:val="Header"/>
            <w:ind w:right="-115"/>
            <w:jc w:val="right"/>
          </w:pPr>
        </w:p>
      </w:tc>
    </w:tr>
  </w:tbl>
  <w:p w14:paraId="2D8728FE" w14:textId="44A55405" w:rsidR="2CA226E1" w:rsidRDefault="2CA226E1" w:rsidP="2CA22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297"/>
      <w:gridCol w:w="7901"/>
    </w:tblGrid>
    <w:tr w:rsidR="004D6339" w14:paraId="62681A05" w14:textId="77777777" w:rsidTr="0BF3202C">
      <w:trPr>
        <w:cantSplit/>
        <w:jc w:val="center"/>
      </w:trPr>
      <w:tc>
        <w:tcPr>
          <w:tcW w:w="1843" w:type="dxa"/>
        </w:tcPr>
        <w:p w14:paraId="7FA96950" w14:textId="30167AEF" w:rsidR="00DD41EE" w:rsidRDefault="00DD41EE" w:rsidP="00DD41EE">
          <w:pPr>
            <w:spacing w:after="0" w:line="240" w:lineRule="auto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113D81CE" wp14:editId="79258970">
                <wp:extent cx="1390015" cy="603250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560C7B" w14:textId="7917E4EE" w:rsidR="004D6339" w:rsidRDefault="004D6339" w:rsidP="004D6339">
          <w:pPr>
            <w:pStyle w:val="Header"/>
          </w:pPr>
        </w:p>
      </w:tc>
      <w:tc>
        <w:tcPr>
          <w:tcW w:w="8355" w:type="dxa"/>
        </w:tcPr>
        <w:p w14:paraId="3329B741" w14:textId="77777777" w:rsidR="004D6339" w:rsidRDefault="004D6339" w:rsidP="004D6339">
          <w:pPr>
            <w:pStyle w:val="Header"/>
          </w:pPr>
        </w:p>
      </w:tc>
    </w:tr>
  </w:tbl>
  <w:p w14:paraId="4EBB10C0" w14:textId="77777777" w:rsidR="004D6339" w:rsidRDefault="004D6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668"/>
    <w:multiLevelType w:val="hybridMultilevel"/>
    <w:tmpl w:val="FA9E1B9C"/>
    <w:lvl w:ilvl="0" w:tplc="BA8412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487"/>
    <w:multiLevelType w:val="multilevel"/>
    <w:tmpl w:val="4AE6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8298D"/>
    <w:multiLevelType w:val="multilevel"/>
    <w:tmpl w:val="7238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13C22"/>
    <w:multiLevelType w:val="hybridMultilevel"/>
    <w:tmpl w:val="4DA6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7D7"/>
    <w:multiLevelType w:val="multilevel"/>
    <w:tmpl w:val="E5CE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71854"/>
    <w:multiLevelType w:val="hybridMultilevel"/>
    <w:tmpl w:val="01AA1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4A72"/>
    <w:multiLevelType w:val="hybridMultilevel"/>
    <w:tmpl w:val="806A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86315"/>
    <w:multiLevelType w:val="hybridMultilevel"/>
    <w:tmpl w:val="D79C3722"/>
    <w:lvl w:ilvl="0" w:tplc="9FFC1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68D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8BE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2EFC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AAF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82EB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CA93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4214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7C0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152A7"/>
    <w:multiLevelType w:val="hybridMultilevel"/>
    <w:tmpl w:val="52AC2392"/>
    <w:lvl w:ilvl="0" w:tplc="6930D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463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0E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629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BCD9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265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12E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C98C7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AEF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AA44F3"/>
    <w:multiLevelType w:val="hybridMultilevel"/>
    <w:tmpl w:val="B5E8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84F5B"/>
    <w:multiLevelType w:val="hybridMultilevel"/>
    <w:tmpl w:val="1D94FB92"/>
    <w:lvl w:ilvl="0" w:tplc="FC841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A68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64D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CEC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B8A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A6EC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D6C3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8AD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321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8"/>
    <w:lvlOverride w:ilv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44"/>
    <w:rsid w:val="000B0CF0"/>
    <w:rsid w:val="00117D80"/>
    <w:rsid w:val="0012754F"/>
    <w:rsid w:val="001A40E0"/>
    <w:rsid w:val="001B46AB"/>
    <w:rsid w:val="002211CD"/>
    <w:rsid w:val="00254F66"/>
    <w:rsid w:val="00367407"/>
    <w:rsid w:val="003A7B69"/>
    <w:rsid w:val="003B6235"/>
    <w:rsid w:val="004014CC"/>
    <w:rsid w:val="004D363F"/>
    <w:rsid w:val="004D6339"/>
    <w:rsid w:val="005B0F8E"/>
    <w:rsid w:val="006649C8"/>
    <w:rsid w:val="00671F43"/>
    <w:rsid w:val="00687A15"/>
    <w:rsid w:val="00712D0C"/>
    <w:rsid w:val="00730F84"/>
    <w:rsid w:val="00791BB2"/>
    <w:rsid w:val="007955F7"/>
    <w:rsid w:val="008074C6"/>
    <w:rsid w:val="008263BD"/>
    <w:rsid w:val="00850DBB"/>
    <w:rsid w:val="0086637C"/>
    <w:rsid w:val="00886F21"/>
    <w:rsid w:val="00904368"/>
    <w:rsid w:val="009567DD"/>
    <w:rsid w:val="00AD6EB5"/>
    <w:rsid w:val="00AF7467"/>
    <w:rsid w:val="00B05347"/>
    <w:rsid w:val="00B50208"/>
    <w:rsid w:val="00B66F93"/>
    <w:rsid w:val="00C1029A"/>
    <w:rsid w:val="00C200AB"/>
    <w:rsid w:val="00C340A4"/>
    <w:rsid w:val="00C421C7"/>
    <w:rsid w:val="00C76370"/>
    <w:rsid w:val="00C92E44"/>
    <w:rsid w:val="00C972A5"/>
    <w:rsid w:val="00CC52E1"/>
    <w:rsid w:val="00D63A18"/>
    <w:rsid w:val="00DD41EE"/>
    <w:rsid w:val="00DE6BD5"/>
    <w:rsid w:val="00E66EE3"/>
    <w:rsid w:val="00E74FAC"/>
    <w:rsid w:val="00F77426"/>
    <w:rsid w:val="00FB01C3"/>
    <w:rsid w:val="064B708E"/>
    <w:rsid w:val="0BF3202C"/>
    <w:rsid w:val="221AE565"/>
    <w:rsid w:val="2CA226E1"/>
    <w:rsid w:val="3756AD0C"/>
    <w:rsid w:val="3ABC65C0"/>
    <w:rsid w:val="3F0A5B00"/>
    <w:rsid w:val="661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A779E"/>
  <w14:defaultImageDpi w14:val="32767"/>
  <w15:chartTrackingRefBased/>
  <w15:docId w15:val="{CFE66C70-B0F3-4ECA-8846-5581017D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5347"/>
    <w:pPr>
      <w:spacing w:after="120" w:line="360" w:lineRule="auto"/>
    </w:pPr>
    <w:rPr>
      <w:rFonts w:ascii="Helvetica Neue" w:hAnsi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339"/>
  </w:style>
  <w:style w:type="paragraph" w:styleId="Footer">
    <w:name w:val="footer"/>
    <w:basedOn w:val="Normal"/>
    <w:link w:val="FooterChar"/>
    <w:uiPriority w:val="99"/>
    <w:unhideWhenUsed/>
    <w:rsid w:val="00B05347"/>
    <w:pPr>
      <w:autoSpaceDE w:val="0"/>
      <w:autoSpaceDN w:val="0"/>
      <w:adjustRightInd w:val="0"/>
      <w:spacing w:after="0" w:line="240" w:lineRule="auto"/>
    </w:pPr>
    <w:rPr>
      <w:rFonts w:cs="Times New Roman"/>
      <w:color w:val="595959" w:themeColor="text1" w:themeTint="A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05347"/>
    <w:rPr>
      <w:rFonts w:ascii="Helvetica Neue" w:hAnsi="Helvetica Neue" w:cs="Times New Roman"/>
      <w:color w:val="595959" w:themeColor="text1" w:themeTint="A6"/>
      <w:sz w:val="20"/>
      <w:szCs w:val="20"/>
    </w:rPr>
  </w:style>
  <w:style w:type="table" w:styleId="TableGrid">
    <w:name w:val="Table Grid"/>
    <w:basedOn w:val="TableNormal"/>
    <w:uiPriority w:val="39"/>
    <w:rsid w:val="004D6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972A5"/>
  </w:style>
  <w:style w:type="paragraph" w:customStyle="1" w:styleId="Address">
    <w:name w:val="Address"/>
    <w:basedOn w:val="Normal"/>
    <w:qFormat/>
    <w:rsid w:val="00B05347"/>
    <w:pPr>
      <w:spacing w:after="0" w:line="240" w:lineRule="auto"/>
    </w:pPr>
  </w:style>
  <w:style w:type="paragraph" w:customStyle="1" w:styleId="Subjectline">
    <w:name w:val="Subject line"/>
    <w:basedOn w:val="Normal"/>
    <w:qFormat/>
    <w:rsid w:val="00B05347"/>
    <w:rPr>
      <w:b/>
    </w:rPr>
  </w:style>
  <w:style w:type="paragraph" w:styleId="ListParagraph">
    <w:name w:val="List Paragraph"/>
    <w:basedOn w:val="Normal"/>
    <w:uiPriority w:val="34"/>
    <w:qFormat/>
    <w:rsid w:val="001A40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8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0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colechin/Downloads/SBSS%2520-%2520Style%2520guide%2520and%2520letterhead/Specialist%2520Behaviour%2520Support%2520Services%2520-%25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2F842D-FEF1-8C45-A4D5-9500207F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Specialist%20Behaviour%20Support%20Services%20-%20Letterhead.dotx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Colechin</dc:creator>
  <cp:keywords/>
  <dc:description/>
  <cp:lastModifiedBy>SBSS Admin</cp:lastModifiedBy>
  <cp:revision>5</cp:revision>
  <cp:lastPrinted>2021-09-23T06:24:00Z</cp:lastPrinted>
  <dcterms:created xsi:type="dcterms:W3CDTF">2020-07-12T10:54:00Z</dcterms:created>
  <dcterms:modified xsi:type="dcterms:W3CDTF">2021-09-23T06:24:00Z</dcterms:modified>
</cp:coreProperties>
</file>