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0D92" w14:textId="77777777" w:rsidR="00AA77A8" w:rsidRPr="008E03C9" w:rsidRDefault="00AA77A8" w:rsidP="00561954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  <w:r w:rsidRPr="008E03C9">
        <w:rPr>
          <w:b/>
          <w:bCs/>
          <w:color w:val="156082" w:themeColor="accent1"/>
          <w:sz w:val="32"/>
          <w:szCs w:val="32"/>
        </w:rPr>
        <w:t>Don Gleason</w:t>
      </w:r>
    </w:p>
    <w:p w14:paraId="180BDE70" w14:textId="08D81BAD" w:rsidR="00AA77A8" w:rsidRPr="005419D7" w:rsidRDefault="00AA77A8" w:rsidP="000D05B3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5419D7">
        <w:rPr>
          <w:sz w:val="22"/>
          <w:szCs w:val="22"/>
        </w:rPr>
        <w:t xml:space="preserve">Dresden, Maine, USA | 207.751.0218 | </w:t>
      </w:r>
      <w:hyperlink r:id="rId5" w:history="1">
        <w:r w:rsidR="00F514DA" w:rsidRPr="003522D5">
          <w:rPr>
            <w:rStyle w:val="Hyperlink"/>
            <w:sz w:val="22"/>
            <w:szCs w:val="22"/>
          </w:rPr>
          <w:t>don.gleason@me.com</w:t>
        </w:r>
      </w:hyperlink>
      <w:r w:rsidR="00F514DA">
        <w:rPr>
          <w:sz w:val="22"/>
          <w:szCs w:val="22"/>
        </w:rPr>
        <w:t xml:space="preserve"> </w:t>
      </w:r>
      <w:r w:rsidRPr="005419D7">
        <w:rPr>
          <w:sz w:val="22"/>
          <w:szCs w:val="22"/>
        </w:rPr>
        <w:t xml:space="preserve"> |</w:t>
      </w:r>
      <w:r w:rsidR="00F514DA">
        <w:rPr>
          <w:sz w:val="22"/>
          <w:szCs w:val="22"/>
        </w:rPr>
        <w:t xml:space="preserve">  </w:t>
      </w:r>
      <w:r w:rsidRPr="005419D7">
        <w:rPr>
          <w:sz w:val="22"/>
          <w:szCs w:val="22"/>
        </w:rPr>
        <w:t xml:space="preserve"> linkedin.com/in/</w:t>
      </w:r>
      <w:proofErr w:type="spellStart"/>
      <w:r w:rsidRPr="005419D7">
        <w:rPr>
          <w:sz w:val="22"/>
          <w:szCs w:val="22"/>
        </w:rPr>
        <w:t>don</w:t>
      </w:r>
      <w:r w:rsidR="00442DEB">
        <w:rPr>
          <w:sz w:val="22"/>
          <w:szCs w:val="22"/>
        </w:rPr>
        <w:t>e</w:t>
      </w:r>
      <w:r w:rsidRPr="005419D7">
        <w:rPr>
          <w:sz w:val="22"/>
          <w:szCs w:val="22"/>
        </w:rPr>
        <w:t>gleason</w:t>
      </w:r>
      <w:proofErr w:type="spellEnd"/>
    </w:p>
    <w:p w14:paraId="48D87EB0" w14:textId="4A361310" w:rsidR="00AA77A8" w:rsidRPr="0004303B" w:rsidRDefault="00AA77A8" w:rsidP="00561954">
      <w:pPr>
        <w:spacing w:after="40"/>
        <w:jc w:val="center"/>
        <w:rPr>
          <w:b/>
          <w:bCs/>
        </w:rPr>
      </w:pPr>
      <w:r w:rsidRPr="0004303B">
        <w:rPr>
          <w:b/>
          <w:bCs/>
        </w:rPr>
        <w:t>VP, Professional Services &amp; Transformation | Practice Architecture &amp; Profit-Center Leadership</w:t>
      </w:r>
    </w:p>
    <w:p w14:paraId="3481022D" w14:textId="105A8848" w:rsidR="00AA77A8" w:rsidRPr="00893F18" w:rsidRDefault="00AA77A8" w:rsidP="001304AF">
      <w:pPr>
        <w:jc w:val="center"/>
        <w:rPr>
          <w:i/>
          <w:iCs/>
          <w:sz w:val="20"/>
          <w:szCs w:val="20"/>
        </w:rPr>
      </w:pPr>
      <w:r w:rsidRPr="00893F18">
        <w:rPr>
          <w:i/>
          <w:iCs/>
          <w:sz w:val="20"/>
          <w:szCs w:val="20"/>
        </w:rPr>
        <w:t>Building scalable, high-margin services organizations that deliver predictable outcomes for Fortune 500 clients</w:t>
      </w:r>
    </w:p>
    <w:p w14:paraId="4D39879F" w14:textId="257F12ED" w:rsidR="00AA77A8" w:rsidRPr="00F45ADC" w:rsidRDefault="00AA77A8" w:rsidP="00442DEB">
      <w:pPr>
        <w:rPr>
          <w:sz w:val="20"/>
          <w:szCs w:val="20"/>
        </w:rPr>
      </w:pPr>
      <w:r w:rsidRPr="00F45ADC">
        <w:rPr>
          <w:sz w:val="20"/>
          <w:szCs w:val="20"/>
        </w:rPr>
        <w:t>Senior Professional Services executive with 1</w:t>
      </w:r>
      <w:r w:rsidR="00BF2C44" w:rsidRPr="00F45ADC">
        <w:rPr>
          <w:sz w:val="20"/>
          <w:szCs w:val="20"/>
        </w:rPr>
        <w:t>5</w:t>
      </w:r>
      <w:r w:rsidRPr="00F45ADC">
        <w:rPr>
          <w:sz w:val="20"/>
          <w:szCs w:val="20"/>
        </w:rPr>
        <w:t>+ years leading large-scale business transformations, P&amp;L ownership ($250M+), and practice development across healthcare, insurance, fintech, and government sectors.</w:t>
      </w:r>
      <w:r w:rsidR="00AB7E46" w:rsidRPr="00F45ADC">
        <w:rPr>
          <w:sz w:val="20"/>
          <w:szCs w:val="20"/>
        </w:rPr>
        <w:t xml:space="preserve">  </w:t>
      </w:r>
      <w:r w:rsidRPr="00F45ADC">
        <w:rPr>
          <w:sz w:val="20"/>
          <w:szCs w:val="20"/>
        </w:rPr>
        <w:t xml:space="preserve">Proven record </w:t>
      </w:r>
      <w:r w:rsidR="00881E09" w:rsidRPr="00F45ADC">
        <w:rPr>
          <w:sz w:val="20"/>
          <w:szCs w:val="20"/>
        </w:rPr>
        <w:t xml:space="preserve">of accomplishment </w:t>
      </w:r>
      <w:r w:rsidR="00540399">
        <w:rPr>
          <w:sz w:val="20"/>
          <w:szCs w:val="20"/>
        </w:rPr>
        <w:t xml:space="preserve">in </w:t>
      </w:r>
      <w:r w:rsidRPr="00F45ADC">
        <w:rPr>
          <w:sz w:val="20"/>
          <w:szCs w:val="20"/>
        </w:rPr>
        <w:t xml:space="preserve">building </w:t>
      </w:r>
      <w:r w:rsidR="00CB5BF3">
        <w:rPr>
          <w:sz w:val="20"/>
          <w:szCs w:val="20"/>
        </w:rPr>
        <w:t xml:space="preserve">transformation &amp; program management </w:t>
      </w:r>
      <w:r w:rsidRPr="00F45ADC">
        <w:rPr>
          <w:sz w:val="20"/>
          <w:szCs w:val="20"/>
        </w:rPr>
        <w:t>organizations: codifying methodologies, creating reusable IP, standardizing governance frameworks, and growing both revenue and margins simultaneously.</w:t>
      </w:r>
      <w:r w:rsidR="0096173F" w:rsidRPr="00F45ADC">
        <w:rPr>
          <w:sz w:val="20"/>
          <w:szCs w:val="20"/>
        </w:rPr>
        <w:t xml:space="preserve">  </w:t>
      </w:r>
      <w:r w:rsidRPr="00F45ADC">
        <w:rPr>
          <w:sz w:val="20"/>
          <w:szCs w:val="20"/>
        </w:rPr>
        <w:t xml:space="preserve">Led </w:t>
      </w:r>
      <w:r w:rsidR="00E934FD" w:rsidRPr="00F45ADC">
        <w:rPr>
          <w:sz w:val="20"/>
          <w:szCs w:val="20"/>
        </w:rPr>
        <w:t>2</w:t>
      </w:r>
      <w:r w:rsidRPr="00F45ADC">
        <w:rPr>
          <w:sz w:val="20"/>
          <w:szCs w:val="20"/>
        </w:rPr>
        <w:t xml:space="preserve">0+ enterprise transformations delivering </w:t>
      </w:r>
      <w:r w:rsidR="00C40400" w:rsidRPr="00F45ADC">
        <w:rPr>
          <w:sz w:val="20"/>
          <w:szCs w:val="20"/>
        </w:rPr>
        <w:t>3</w:t>
      </w:r>
      <w:r w:rsidRPr="00F45ADC">
        <w:rPr>
          <w:sz w:val="20"/>
          <w:szCs w:val="20"/>
        </w:rPr>
        <w:t>0–40% efficiency gains and $5</w:t>
      </w:r>
      <w:r w:rsidR="003917C4" w:rsidRPr="00F45ADC">
        <w:rPr>
          <w:sz w:val="20"/>
          <w:szCs w:val="20"/>
        </w:rPr>
        <w:t>0</w:t>
      </w:r>
      <w:r w:rsidRPr="00F45ADC">
        <w:rPr>
          <w:sz w:val="20"/>
          <w:szCs w:val="20"/>
        </w:rPr>
        <w:t>M+ in client cost optimization.</w:t>
      </w:r>
      <w:r w:rsidR="009E195C" w:rsidRPr="00F45ADC">
        <w:rPr>
          <w:sz w:val="20"/>
          <w:szCs w:val="20"/>
        </w:rPr>
        <w:t xml:space="preserve">  </w:t>
      </w:r>
      <w:r w:rsidRPr="00F45ADC">
        <w:rPr>
          <w:sz w:val="20"/>
          <w:szCs w:val="20"/>
        </w:rPr>
        <w:t>Player-coach leader who builds high-performing teams (50–200+) while maintaining C-suite advisory relationships with Fortune 500 clients</w:t>
      </w:r>
      <w:r w:rsidR="00C67AAA" w:rsidRPr="00F45ADC">
        <w:rPr>
          <w:sz w:val="20"/>
          <w:szCs w:val="20"/>
        </w:rPr>
        <w:t>,</w:t>
      </w:r>
      <w:r w:rsidRPr="00F45ADC">
        <w:rPr>
          <w:sz w:val="20"/>
          <w:szCs w:val="20"/>
        </w:rPr>
        <w:t xml:space="preserve"> including UnitedHealth Group/Optum, IBM, multiple BCBS plans, and federal/state agencies. </w:t>
      </w:r>
      <w:r w:rsidR="007F2820" w:rsidRPr="00F45ADC">
        <w:rPr>
          <w:sz w:val="20"/>
          <w:szCs w:val="20"/>
        </w:rPr>
        <w:t xml:space="preserve"> </w:t>
      </w:r>
      <w:r w:rsidRPr="00F45ADC">
        <w:rPr>
          <w:sz w:val="20"/>
          <w:szCs w:val="20"/>
        </w:rPr>
        <w:t>Expert at triaging underperforming initiatives and converting them into measurable successes.</w:t>
      </w:r>
    </w:p>
    <w:p w14:paraId="7538B79E" w14:textId="40D04170" w:rsidR="00AA77A8" w:rsidRPr="00545263" w:rsidRDefault="00AA77A8" w:rsidP="00770427">
      <w:pPr>
        <w:spacing w:after="40"/>
        <w:rPr>
          <w:b/>
          <w:bCs/>
          <w:color w:val="156082" w:themeColor="accent1"/>
          <w:sz w:val="22"/>
          <w:szCs w:val="22"/>
        </w:rPr>
      </w:pPr>
      <w:r w:rsidRPr="00545263">
        <w:rPr>
          <w:b/>
          <w:bCs/>
          <w:color w:val="156082" w:themeColor="accent1"/>
          <w:sz w:val="22"/>
          <w:szCs w:val="22"/>
        </w:rPr>
        <w:t>Core Competencies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3649"/>
        <w:gridCol w:w="3453"/>
      </w:tblGrid>
      <w:tr w:rsidR="002B6F48" w:rsidRPr="008B7826" w14:paraId="53F27CC7" w14:textId="77777777" w:rsidTr="00442DEB">
        <w:tc>
          <w:tcPr>
            <w:tcW w:w="3452" w:type="dxa"/>
          </w:tcPr>
          <w:p w14:paraId="72408A71" w14:textId="77777777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Practice Leadership</w:t>
            </w:r>
          </w:p>
        </w:tc>
        <w:tc>
          <w:tcPr>
            <w:tcW w:w="3453" w:type="dxa"/>
          </w:tcPr>
          <w:p w14:paraId="310C0C75" w14:textId="59E98568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 xml:space="preserve">Client </w:t>
            </w:r>
            <w:r w:rsidR="00BD0E13">
              <w:rPr>
                <w:sz w:val="20"/>
                <w:szCs w:val="20"/>
              </w:rPr>
              <w:t xml:space="preserve">Senior </w:t>
            </w:r>
            <w:r w:rsidRPr="00E26E6D">
              <w:rPr>
                <w:sz w:val="20"/>
                <w:szCs w:val="20"/>
              </w:rPr>
              <w:t>Advisor</w:t>
            </w:r>
          </w:p>
        </w:tc>
        <w:tc>
          <w:tcPr>
            <w:tcW w:w="3453" w:type="dxa"/>
          </w:tcPr>
          <w:p w14:paraId="3646C4A3" w14:textId="77777777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Delivery Excellence</w:t>
            </w:r>
          </w:p>
        </w:tc>
      </w:tr>
      <w:tr w:rsidR="002B6F48" w:rsidRPr="008B7826" w14:paraId="0A00C09E" w14:textId="77777777" w:rsidTr="00442DEB">
        <w:tc>
          <w:tcPr>
            <w:tcW w:w="3452" w:type="dxa"/>
          </w:tcPr>
          <w:p w14:paraId="18A9B6C9" w14:textId="77777777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P&amp;L Ownership ($250M+)</w:t>
            </w:r>
          </w:p>
        </w:tc>
        <w:tc>
          <w:tcPr>
            <w:tcW w:w="3453" w:type="dxa"/>
          </w:tcPr>
          <w:p w14:paraId="41D6045A" w14:textId="6EAFC0D8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C-Suite Trusted Advisor</w:t>
            </w:r>
          </w:p>
        </w:tc>
        <w:tc>
          <w:tcPr>
            <w:tcW w:w="3453" w:type="dxa"/>
          </w:tcPr>
          <w:p w14:paraId="4A71C789" w14:textId="567ACD81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Transformation Methodology</w:t>
            </w:r>
          </w:p>
        </w:tc>
      </w:tr>
      <w:tr w:rsidR="002B6F48" w:rsidRPr="008B7826" w14:paraId="7B949D93" w14:textId="77777777" w:rsidTr="00442DEB">
        <w:tc>
          <w:tcPr>
            <w:tcW w:w="3452" w:type="dxa"/>
          </w:tcPr>
          <w:p w14:paraId="59EA2BD0" w14:textId="1FD19751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 xml:space="preserve">Services Economics </w:t>
            </w:r>
            <w:r w:rsidR="00053695" w:rsidRPr="00E26E6D">
              <w:rPr>
                <w:sz w:val="20"/>
                <w:szCs w:val="20"/>
              </w:rPr>
              <w:t>(including</w:t>
            </w:r>
            <w:r w:rsidRPr="00E26E6D">
              <w:rPr>
                <w:sz w:val="20"/>
                <w:szCs w:val="20"/>
              </w:rPr>
              <w:t xml:space="preserve"> Margin </w:t>
            </w:r>
            <w:r w:rsidR="00464682" w:rsidRPr="00E26E6D">
              <w:rPr>
                <w:sz w:val="20"/>
                <w:szCs w:val="20"/>
              </w:rPr>
              <w:t xml:space="preserve">Growth </w:t>
            </w:r>
            <w:r w:rsidR="00053695" w:rsidRPr="00E26E6D">
              <w:rPr>
                <w:sz w:val="20"/>
                <w:szCs w:val="20"/>
              </w:rPr>
              <w:t xml:space="preserve">&amp; </w:t>
            </w:r>
            <w:r w:rsidRPr="00E26E6D">
              <w:rPr>
                <w:sz w:val="20"/>
                <w:szCs w:val="20"/>
              </w:rPr>
              <w:t>Optimization</w:t>
            </w:r>
            <w:r w:rsidR="00053695" w:rsidRPr="00E26E6D">
              <w:rPr>
                <w:sz w:val="20"/>
                <w:szCs w:val="20"/>
              </w:rPr>
              <w:t>)</w:t>
            </w:r>
          </w:p>
        </w:tc>
        <w:tc>
          <w:tcPr>
            <w:tcW w:w="3453" w:type="dxa"/>
          </w:tcPr>
          <w:p w14:paraId="079FB02B" w14:textId="2704682D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M&amp;A Integration &amp; Post-Merger Op</w:t>
            </w:r>
            <w:r w:rsidR="00C30C43" w:rsidRPr="00E26E6D">
              <w:rPr>
                <w:sz w:val="20"/>
                <w:szCs w:val="20"/>
              </w:rPr>
              <w:t>eration</w:t>
            </w:r>
            <w:r w:rsidRPr="00E26E6D">
              <w:rPr>
                <w:sz w:val="20"/>
                <w:szCs w:val="20"/>
              </w:rPr>
              <w:t>s</w:t>
            </w:r>
          </w:p>
        </w:tc>
        <w:tc>
          <w:tcPr>
            <w:tcW w:w="3453" w:type="dxa"/>
          </w:tcPr>
          <w:p w14:paraId="143620CA" w14:textId="1CB24D21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 xml:space="preserve">Scalable </w:t>
            </w:r>
            <w:r w:rsidR="00A56A90">
              <w:rPr>
                <w:sz w:val="20"/>
                <w:szCs w:val="20"/>
              </w:rPr>
              <w:t>Program Management</w:t>
            </w:r>
            <w:r w:rsidRPr="00E26E6D">
              <w:rPr>
                <w:sz w:val="20"/>
                <w:szCs w:val="20"/>
              </w:rPr>
              <w:t xml:space="preserve"> Frameworks &amp; I</w:t>
            </w:r>
            <w:r w:rsidR="00C30C43" w:rsidRPr="00E26E6D">
              <w:rPr>
                <w:sz w:val="20"/>
                <w:szCs w:val="20"/>
              </w:rPr>
              <w:t xml:space="preserve">ntellectual </w:t>
            </w:r>
            <w:r w:rsidRPr="00E26E6D">
              <w:rPr>
                <w:sz w:val="20"/>
                <w:szCs w:val="20"/>
              </w:rPr>
              <w:t>P</w:t>
            </w:r>
            <w:r w:rsidR="00C30C43" w:rsidRPr="00E26E6D">
              <w:rPr>
                <w:sz w:val="20"/>
                <w:szCs w:val="20"/>
              </w:rPr>
              <w:t>roperty</w:t>
            </w:r>
          </w:p>
        </w:tc>
      </w:tr>
      <w:tr w:rsidR="002B6F48" w:rsidRPr="008B7826" w14:paraId="07810873" w14:textId="77777777" w:rsidTr="00442DEB">
        <w:tc>
          <w:tcPr>
            <w:tcW w:w="3452" w:type="dxa"/>
          </w:tcPr>
          <w:p w14:paraId="0F6E1973" w14:textId="77777777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Revenue Growth &amp; Practice Scaling</w:t>
            </w:r>
          </w:p>
        </w:tc>
        <w:tc>
          <w:tcPr>
            <w:tcW w:w="3453" w:type="dxa"/>
          </w:tcPr>
          <w:p w14:paraId="0DD30CCC" w14:textId="69A259ED" w:rsidR="002B6F48" w:rsidRPr="00E26E6D" w:rsidRDefault="009657DF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Resource Optimization &amp; Utilization</w:t>
            </w:r>
            <w:r w:rsidRPr="00E26E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3" w:type="dxa"/>
          </w:tcPr>
          <w:p w14:paraId="749EB48A" w14:textId="77777777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Quality Assurance &amp; Governance</w:t>
            </w:r>
          </w:p>
        </w:tc>
      </w:tr>
      <w:tr w:rsidR="002B6F48" w:rsidRPr="008B7826" w14:paraId="4D37E425" w14:textId="77777777" w:rsidTr="00442DEB">
        <w:tc>
          <w:tcPr>
            <w:tcW w:w="3452" w:type="dxa"/>
          </w:tcPr>
          <w:p w14:paraId="7C2DD00E" w14:textId="5873F823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Team Building (</w:t>
            </w:r>
            <w:r w:rsidR="00A1363D" w:rsidRPr="00E26E6D">
              <w:rPr>
                <w:sz w:val="20"/>
                <w:szCs w:val="20"/>
              </w:rPr>
              <w:t>7 direct, 50</w:t>
            </w:r>
            <w:r w:rsidR="00C52425" w:rsidRPr="00E26E6D">
              <w:rPr>
                <w:sz w:val="20"/>
                <w:szCs w:val="20"/>
              </w:rPr>
              <w:t xml:space="preserve"> core</w:t>
            </w:r>
            <w:r w:rsidR="00A1363D" w:rsidRPr="00E26E6D">
              <w:rPr>
                <w:sz w:val="20"/>
                <w:szCs w:val="20"/>
              </w:rPr>
              <w:t>, &amp; &gt;</w:t>
            </w:r>
            <w:r w:rsidRPr="00E26E6D">
              <w:rPr>
                <w:sz w:val="20"/>
                <w:szCs w:val="20"/>
              </w:rPr>
              <w:t xml:space="preserve">200+ </w:t>
            </w:r>
            <w:r w:rsidR="00A1363D" w:rsidRPr="00E26E6D">
              <w:rPr>
                <w:sz w:val="20"/>
                <w:szCs w:val="20"/>
              </w:rPr>
              <w:t xml:space="preserve">extended </w:t>
            </w:r>
            <w:r w:rsidR="0055303C">
              <w:rPr>
                <w:sz w:val="20"/>
                <w:szCs w:val="20"/>
              </w:rPr>
              <w:t>resource</w:t>
            </w:r>
            <w:r w:rsidRPr="00E26E6D">
              <w:rPr>
                <w:sz w:val="20"/>
                <w:szCs w:val="20"/>
              </w:rPr>
              <w:t>s)</w:t>
            </w:r>
          </w:p>
        </w:tc>
        <w:tc>
          <w:tcPr>
            <w:tcW w:w="3453" w:type="dxa"/>
          </w:tcPr>
          <w:p w14:paraId="0493B6B4" w14:textId="2F148668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 xml:space="preserve">Change Leadership &amp; Stakeholder </w:t>
            </w:r>
            <w:r w:rsidR="00361B29" w:rsidRPr="00E26E6D">
              <w:rPr>
                <w:sz w:val="20"/>
                <w:szCs w:val="20"/>
              </w:rPr>
              <w:t>Management</w:t>
            </w:r>
          </w:p>
        </w:tc>
        <w:tc>
          <w:tcPr>
            <w:tcW w:w="3453" w:type="dxa"/>
          </w:tcPr>
          <w:p w14:paraId="31D4D68E" w14:textId="37924F3F" w:rsidR="002B6F48" w:rsidRPr="00E26E6D" w:rsidRDefault="00E2187D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Repeatable/</w:t>
            </w:r>
            <w:r w:rsidR="002B6F48" w:rsidRPr="00E26E6D">
              <w:rPr>
                <w:sz w:val="20"/>
                <w:szCs w:val="20"/>
              </w:rPr>
              <w:t>Reusable Playbooks &amp; Accelerators</w:t>
            </w:r>
          </w:p>
        </w:tc>
      </w:tr>
      <w:tr w:rsidR="002B6F48" w:rsidRPr="008B7826" w14:paraId="238B91EF" w14:textId="77777777" w:rsidTr="00442DEB">
        <w:tc>
          <w:tcPr>
            <w:tcW w:w="3452" w:type="dxa"/>
          </w:tcPr>
          <w:p w14:paraId="7438421E" w14:textId="77777777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Value-Based Pricing &amp; Proposal Strategy</w:t>
            </w:r>
          </w:p>
        </w:tc>
        <w:tc>
          <w:tcPr>
            <w:tcW w:w="3453" w:type="dxa"/>
          </w:tcPr>
          <w:p w14:paraId="2D4D8192" w14:textId="64033331" w:rsidR="002B6F48" w:rsidRPr="00E26E6D" w:rsidRDefault="002B6F48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Healthcare/Insurance/</w:t>
            </w:r>
            <w:r w:rsidR="00563812">
              <w:rPr>
                <w:sz w:val="20"/>
                <w:szCs w:val="20"/>
              </w:rPr>
              <w:t xml:space="preserve">Manufacturing/ </w:t>
            </w:r>
            <w:r w:rsidRPr="00E26E6D">
              <w:rPr>
                <w:sz w:val="20"/>
                <w:szCs w:val="20"/>
              </w:rPr>
              <w:t>Gov</w:t>
            </w:r>
            <w:r w:rsidR="00563812">
              <w:rPr>
                <w:sz w:val="20"/>
                <w:szCs w:val="20"/>
              </w:rPr>
              <w:t>t</w:t>
            </w:r>
            <w:r w:rsidRPr="00E26E6D">
              <w:rPr>
                <w:sz w:val="20"/>
                <w:szCs w:val="20"/>
              </w:rPr>
              <w:t xml:space="preserve"> Sector Expertise</w:t>
            </w:r>
          </w:p>
        </w:tc>
        <w:tc>
          <w:tcPr>
            <w:tcW w:w="3453" w:type="dxa"/>
          </w:tcPr>
          <w:p w14:paraId="11707D82" w14:textId="1460D734" w:rsidR="002B6F48" w:rsidRPr="00E26E6D" w:rsidRDefault="009657DF" w:rsidP="00630C5D">
            <w:pPr>
              <w:pStyle w:val="ListParagraph"/>
              <w:numPr>
                <w:ilvl w:val="0"/>
                <w:numId w:val="16"/>
              </w:numPr>
              <w:spacing w:before="20" w:after="0"/>
              <w:ind w:left="160" w:hanging="174"/>
              <w:rPr>
                <w:sz w:val="20"/>
                <w:szCs w:val="20"/>
              </w:rPr>
            </w:pPr>
            <w:r w:rsidRPr="00E26E6D">
              <w:rPr>
                <w:sz w:val="20"/>
                <w:szCs w:val="20"/>
              </w:rPr>
              <w:t>Digital Transformation Strategy</w:t>
            </w:r>
            <w:r>
              <w:rPr>
                <w:sz w:val="20"/>
                <w:szCs w:val="20"/>
              </w:rPr>
              <w:t>, Governance &amp; Execution</w:t>
            </w:r>
          </w:p>
        </w:tc>
      </w:tr>
    </w:tbl>
    <w:p w14:paraId="71C5215B" w14:textId="77777777" w:rsidR="00486520" w:rsidRPr="00770427" w:rsidRDefault="00486520" w:rsidP="00770427">
      <w:pPr>
        <w:spacing w:after="0"/>
        <w:rPr>
          <w:sz w:val="6"/>
          <w:szCs w:val="6"/>
        </w:rPr>
      </w:pPr>
    </w:p>
    <w:p w14:paraId="270F550D" w14:textId="7AB1A91F" w:rsidR="00AA77A8" w:rsidRPr="00DB0460" w:rsidRDefault="00AA77A8" w:rsidP="0002136A">
      <w:pPr>
        <w:spacing w:after="60"/>
        <w:rPr>
          <w:b/>
          <w:bCs/>
          <w:color w:val="156082" w:themeColor="accent1"/>
          <w:sz w:val="22"/>
          <w:szCs w:val="22"/>
        </w:rPr>
      </w:pPr>
      <w:r w:rsidRPr="00DB0460">
        <w:rPr>
          <w:b/>
          <w:bCs/>
          <w:color w:val="156082" w:themeColor="accent1"/>
          <w:sz w:val="22"/>
          <w:szCs w:val="22"/>
        </w:rPr>
        <w:t>Enterprise Transformation Portfolio</w:t>
      </w:r>
    </w:p>
    <w:p w14:paraId="05B2ABBC" w14:textId="5A2AD396" w:rsidR="00AA77A8" w:rsidRPr="003C0003" w:rsidRDefault="00D65280" w:rsidP="00AF4AD6">
      <w:pPr>
        <w:pStyle w:val="ListParagraph"/>
        <w:numPr>
          <w:ilvl w:val="0"/>
          <w:numId w:val="1"/>
        </w:numPr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2</w:t>
      </w:r>
      <w:r w:rsidR="00AA77A8" w:rsidRPr="003C0003">
        <w:rPr>
          <w:sz w:val="20"/>
          <w:szCs w:val="20"/>
        </w:rPr>
        <w:t xml:space="preserve">0+ business transformations led across healthcare, insurance, government, </w:t>
      </w:r>
      <w:r w:rsidR="006772D9">
        <w:rPr>
          <w:sz w:val="20"/>
          <w:szCs w:val="20"/>
        </w:rPr>
        <w:t xml:space="preserve">nonprofit, </w:t>
      </w:r>
      <w:r w:rsidR="00AA77A8" w:rsidRPr="003C0003">
        <w:rPr>
          <w:sz w:val="20"/>
          <w:szCs w:val="20"/>
        </w:rPr>
        <w:t xml:space="preserve">and </w:t>
      </w:r>
      <w:r w:rsidR="00651449">
        <w:rPr>
          <w:sz w:val="20"/>
          <w:szCs w:val="20"/>
        </w:rPr>
        <w:t>manufacturing</w:t>
      </w:r>
      <w:r w:rsidR="00AA77A8" w:rsidRPr="003C0003">
        <w:rPr>
          <w:sz w:val="20"/>
          <w:szCs w:val="20"/>
        </w:rPr>
        <w:t xml:space="preserve"> sectors</w:t>
      </w:r>
    </w:p>
    <w:p w14:paraId="327304C5" w14:textId="0AF34762" w:rsidR="00AA77A8" w:rsidRPr="003C0003" w:rsidRDefault="00AA77A8" w:rsidP="00AF4AD6">
      <w:pPr>
        <w:pStyle w:val="ListParagraph"/>
        <w:numPr>
          <w:ilvl w:val="0"/>
          <w:numId w:val="1"/>
        </w:numPr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$2</w:t>
      </w:r>
      <w:r w:rsidR="006772D9">
        <w:rPr>
          <w:sz w:val="20"/>
          <w:szCs w:val="20"/>
        </w:rPr>
        <w:t>5</w:t>
      </w:r>
      <w:r w:rsidRPr="003C0003">
        <w:rPr>
          <w:sz w:val="20"/>
          <w:szCs w:val="20"/>
        </w:rPr>
        <w:t>0M+ in organizational transformation value delivered to Fortune 500 and public sector clients</w:t>
      </w:r>
    </w:p>
    <w:p w14:paraId="018AB942" w14:textId="24368697" w:rsidR="00AA77A8" w:rsidRPr="003C0003" w:rsidRDefault="00AA77A8" w:rsidP="00AF4AD6">
      <w:pPr>
        <w:pStyle w:val="ListParagraph"/>
        <w:numPr>
          <w:ilvl w:val="0"/>
          <w:numId w:val="1"/>
        </w:numPr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$50M+ in client cost optimization through process automation, cloud migration, and operational excellence</w:t>
      </w:r>
    </w:p>
    <w:p w14:paraId="41F1DB97" w14:textId="5AD61031" w:rsidR="00AA77A8" w:rsidRPr="003C0003" w:rsidRDefault="00D65280" w:rsidP="00AF4AD6">
      <w:pPr>
        <w:pStyle w:val="ListParagraph"/>
        <w:numPr>
          <w:ilvl w:val="0"/>
          <w:numId w:val="1"/>
        </w:numPr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1</w:t>
      </w:r>
      <w:r w:rsidR="00AA77A8" w:rsidRPr="003C0003">
        <w:rPr>
          <w:sz w:val="20"/>
          <w:szCs w:val="20"/>
        </w:rPr>
        <w:t>00% client retention at enterprise scale with 92%+ across all engagements</w:t>
      </w:r>
    </w:p>
    <w:p w14:paraId="7681F5B0" w14:textId="42A606DE" w:rsidR="00AA77A8" w:rsidRPr="003C0003" w:rsidRDefault="00D65280" w:rsidP="00AF4AD6">
      <w:pPr>
        <w:pStyle w:val="ListParagraph"/>
        <w:numPr>
          <w:ilvl w:val="0"/>
          <w:numId w:val="1"/>
        </w:numPr>
        <w:spacing w:after="60"/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S</w:t>
      </w:r>
      <w:r w:rsidR="00AA77A8" w:rsidRPr="003C0003">
        <w:rPr>
          <w:sz w:val="20"/>
          <w:szCs w:val="20"/>
        </w:rPr>
        <w:t>ectors served</w:t>
      </w:r>
      <w:proofErr w:type="gramStart"/>
      <w:r w:rsidR="00AA77A8" w:rsidRPr="003C0003">
        <w:rPr>
          <w:sz w:val="20"/>
          <w:szCs w:val="20"/>
        </w:rPr>
        <w:t>:</w:t>
      </w:r>
      <w:r w:rsidRPr="003C0003">
        <w:rPr>
          <w:sz w:val="20"/>
          <w:szCs w:val="20"/>
        </w:rPr>
        <w:t xml:space="preserve"> </w:t>
      </w:r>
      <w:r w:rsidR="00AA77A8" w:rsidRPr="003C0003">
        <w:rPr>
          <w:sz w:val="20"/>
          <w:szCs w:val="20"/>
        </w:rPr>
        <w:t xml:space="preserve"> Healthcare</w:t>
      </w:r>
      <w:proofErr w:type="gramEnd"/>
      <w:r w:rsidR="00AA77A8" w:rsidRPr="003C0003">
        <w:rPr>
          <w:sz w:val="20"/>
          <w:szCs w:val="20"/>
        </w:rPr>
        <w:t xml:space="preserve"> (UHG/Optum, BCBS plans, MaineHealth, Yale New Haven), Insurance</w:t>
      </w:r>
      <w:r w:rsidR="00D0235A" w:rsidRPr="003C0003">
        <w:rPr>
          <w:sz w:val="20"/>
          <w:szCs w:val="20"/>
        </w:rPr>
        <w:t xml:space="preserve"> (Patriot</w:t>
      </w:r>
      <w:r w:rsidR="004529E0" w:rsidRPr="003C0003">
        <w:rPr>
          <w:sz w:val="20"/>
          <w:szCs w:val="20"/>
        </w:rPr>
        <w:t xml:space="preserve"> Mutual</w:t>
      </w:r>
      <w:r w:rsidR="00D0235A" w:rsidRPr="003C0003">
        <w:rPr>
          <w:sz w:val="20"/>
          <w:szCs w:val="20"/>
        </w:rPr>
        <w:t>)</w:t>
      </w:r>
      <w:r w:rsidR="00AA77A8" w:rsidRPr="003C0003">
        <w:rPr>
          <w:sz w:val="20"/>
          <w:szCs w:val="20"/>
        </w:rPr>
        <w:t>, Government (Medicaid, HIE</w:t>
      </w:r>
      <w:r w:rsidR="00853863" w:rsidRPr="003C0003">
        <w:rPr>
          <w:sz w:val="20"/>
          <w:szCs w:val="20"/>
        </w:rPr>
        <w:t>, NYState OFT</w:t>
      </w:r>
      <w:r w:rsidR="00442DEB" w:rsidRPr="003C0003">
        <w:rPr>
          <w:sz w:val="20"/>
          <w:szCs w:val="20"/>
        </w:rPr>
        <w:t xml:space="preserve"> </w:t>
      </w:r>
      <w:r w:rsidR="00853863" w:rsidRPr="003C0003">
        <w:rPr>
          <w:sz w:val="20"/>
          <w:szCs w:val="20"/>
        </w:rPr>
        <w:t>/</w:t>
      </w:r>
      <w:r w:rsidR="00442DEB" w:rsidRPr="003C0003">
        <w:rPr>
          <w:sz w:val="20"/>
          <w:szCs w:val="20"/>
        </w:rPr>
        <w:t xml:space="preserve"> IT Services</w:t>
      </w:r>
      <w:r w:rsidR="00AA77A8" w:rsidRPr="003C0003">
        <w:rPr>
          <w:sz w:val="20"/>
          <w:szCs w:val="20"/>
        </w:rPr>
        <w:t xml:space="preserve">), </w:t>
      </w:r>
      <w:r w:rsidR="00BF1757">
        <w:rPr>
          <w:sz w:val="20"/>
          <w:szCs w:val="20"/>
        </w:rPr>
        <w:t>Manufacturing</w:t>
      </w:r>
      <w:r w:rsidR="00AA77A8" w:rsidRPr="003C0003">
        <w:rPr>
          <w:sz w:val="20"/>
          <w:szCs w:val="20"/>
        </w:rPr>
        <w:t xml:space="preserve"> (GD-BIW</w:t>
      </w:r>
      <w:r w:rsidR="002D3D05">
        <w:rPr>
          <w:sz w:val="20"/>
          <w:szCs w:val="20"/>
        </w:rPr>
        <w:t>, eSalton, Enterasys</w:t>
      </w:r>
      <w:r w:rsidR="00AA77A8" w:rsidRPr="003C0003">
        <w:rPr>
          <w:sz w:val="20"/>
          <w:szCs w:val="20"/>
        </w:rPr>
        <w:t>)</w:t>
      </w:r>
    </w:p>
    <w:p w14:paraId="00830665" w14:textId="21C37161" w:rsidR="00AA77A8" w:rsidRPr="00DB0460" w:rsidRDefault="00AA77A8" w:rsidP="00561954">
      <w:pPr>
        <w:spacing w:after="60"/>
        <w:rPr>
          <w:b/>
          <w:bCs/>
          <w:color w:val="156082" w:themeColor="accent1"/>
          <w:sz w:val="24"/>
        </w:rPr>
      </w:pPr>
      <w:r w:rsidRPr="00DB0460">
        <w:rPr>
          <w:b/>
          <w:bCs/>
          <w:color w:val="156082" w:themeColor="accent1"/>
          <w:sz w:val="24"/>
        </w:rPr>
        <w:t>Professional Experience</w:t>
      </w:r>
    </w:p>
    <w:p w14:paraId="587BC9B4" w14:textId="691DB5D6" w:rsidR="00AA77A8" w:rsidRPr="00AD095D" w:rsidRDefault="00AA77A8" w:rsidP="00770427">
      <w:pPr>
        <w:spacing w:after="0"/>
        <w:rPr>
          <w:sz w:val="22"/>
          <w:szCs w:val="22"/>
        </w:rPr>
      </w:pPr>
      <w:r w:rsidRPr="00622ED9">
        <w:rPr>
          <w:b/>
          <w:bCs/>
          <w:sz w:val="22"/>
          <w:szCs w:val="22"/>
        </w:rPr>
        <w:t xml:space="preserve">UnitedHealth Group / </w:t>
      </w:r>
      <w:proofErr w:type="gramStart"/>
      <w:r w:rsidRPr="00622ED9">
        <w:rPr>
          <w:b/>
          <w:bCs/>
          <w:sz w:val="22"/>
          <w:szCs w:val="22"/>
        </w:rPr>
        <w:t>Optum</w:t>
      </w:r>
      <w:r w:rsidR="007C4DEC">
        <w:rPr>
          <w:sz w:val="22"/>
          <w:szCs w:val="22"/>
        </w:rPr>
        <w:t xml:space="preserve"> </w:t>
      </w:r>
      <w:r w:rsidR="00EC5914">
        <w:rPr>
          <w:sz w:val="22"/>
          <w:szCs w:val="22"/>
        </w:rPr>
        <w:t xml:space="preserve"> </w:t>
      </w:r>
      <w:r w:rsidR="00F913C3">
        <w:rPr>
          <w:sz w:val="22"/>
          <w:szCs w:val="22"/>
        </w:rPr>
        <w:t>-</w:t>
      </w:r>
      <w:proofErr w:type="gramEnd"/>
      <w:r w:rsidR="00F913C3">
        <w:rPr>
          <w:sz w:val="22"/>
          <w:szCs w:val="22"/>
        </w:rPr>
        <w:t xml:space="preserve"> </w:t>
      </w:r>
      <w:r w:rsidRPr="00AD095D">
        <w:rPr>
          <w:sz w:val="22"/>
          <w:szCs w:val="22"/>
        </w:rPr>
        <w:t>Minnetonka, MN</w:t>
      </w:r>
    </w:p>
    <w:p w14:paraId="1FF5DE27" w14:textId="613810A0" w:rsidR="00AA77A8" w:rsidRPr="0068312A" w:rsidRDefault="00AA77A8" w:rsidP="0068312A">
      <w:pPr>
        <w:spacing w:after="60"/>
        <w:rPr>
          <w:szCs w:val="21"/>
        </w:rPr>
      </w:pPr>
      <w:r w:rsidRPr="0068312A">
        <w:rPr>
          <w:b/>
          <w:bCs/>
          <w:i/>
          <w:iCs/>
          <w:szCs w:val="21"/>
        </w:rPr>
        <w:t>VP, Government Programs Management &amp; Services</w:t>
      </w:r>
      <w:r w:rsidRPr="0068312A">
        <w:rPr>
          <w:szCs w:val="21"/>
        </w:rPr>
        <w:t xml:space="preserve"> | Sep 2007 – Nov 2012</w:t>
      </w:r>
    </w:p>
    <w:p w14:paraId="713E8F8F" w14:textId="10ED51DA" w:rsidR="00AA77A8" w:rsidRPr="003C0003" w:rsidRDefault="00AA77A8" w:rsidP="0068312A">
      <w:pPr>
        <w:spacing w:after="60"/>
        <w:rPr>
          <w:sz w:val="20"/>
          <w:szCs w:val="20"/>
        </w:rPr>
      </w:pPr>
      <w:r w:rsidRPr="003C0003">
        <w:rPr>
          <w:sz w:val="20"/>
          <w:szCs w:val="20"/>
        </w:rPr>
        <w:t xml:space="preserve">Built and scaled a global professional services practice delivering complex transformation solutions for government healthcare programs. </w:t>
      </w:r>
      <w:r w:rsidR="003722BE" w:rsidRPr="003C0003">
        <w:rPr>
          <w:sz w:val="20"/>
          <w:szCs w:val="20"/>
        </w:rPr>
        <w:t xml:space="preserve"> </w:t>
      </w:r>
      <w:r w:rsidRPr="003C0003">
        <w:rPr>
          <w:sz w:val="20"/>
          <w:szCs w:val="20"/>
        </w:rPr>
        <w:t xml:space="preserve">Owned full P&amp;L responsibility with direct accountability to </w:t>
      </w:r>
      <w:r w:rsidR="00AF40C5">
        <w:rPr>
          <w:sz w:val="20"/>
          <w:szCs w:val="20"/>
        </w:rPr>
        <w:t xml:space="preserve">the </w:t>
      </w:r>
      <w:r w:rsidR="00736B68">
        <w:rPr>
          <w:sz w:val="20"/>
          <w:szCs w:val="20"/>
        </w:rPr>
        <w:t xml:space="preserve">sector </w:t>
      </w:r>
      <w:r w:rsidRPr="003C0003">
        <w:rPr>
          <w:sz w:val="20"/>
          <w:szCs w:val="20"/>
        </w:rPr>
        <w:t xml:space="preserve">executive leadership </w:t>
      </w:r>
      <w:r w:rsidR="00AF40C5">
        <w:rPr>
          <w:sz w:val="20"/>
          <w:szCs w:val="20"/>
        </w:rPr>
        <w:t>team</w:t>
      </w:r>
      <w:r w:rsidR="00E254BA" w:rsidRPr="003C0003">
        <w:rPr>
          <w:sz w:val="20"/>
          <w:szCs w:val="20"/>
        </w:rPr>
        <w:t>.</w:t>
      </w:r>
    </w:p>
    <w:p w14:paraId="5A8C0A17" w14:textId="3EE2A863" w:rsidR="00AA77A8" w:rsidRPr="003C0003" w:rsidRDefault="00AA77A8" w:rsidP="00C902FB">
      <w:pPr>
        <w:spacing w:after="40"/>
        <w:rPr>
          <w:i/>
          <w:iCs/>
          <w:sz w:val="20"/>
          <w:szCs w:val="20"/>
        </w:rPr>
      </w:pPr>
      <w:r w:rsidRPr="003C0003">
        <w:rPr>
          <w:i/>
          <w:iCs/>
          <w:sz w:val="20"/>
          <w:szCs w:val="20"/>
        </w:rPr>
        <w:t>P&amp;L &amp; Practice Leadership:</w:t>
      </w:r>
    </w:p>
    <w:p w14:paraId="496BFD1B" w14:textId="60CFB0A4" w:rsidR="00AA77A8" w:rsidRPr="003C0003" w:rsidRDefault="00AA77A8" w:rsidP="00AF4AD6">
      <w:pPr>
        <w:pStyle w:val="ListParagraph"/>
        <w:numPr>
          <w:ilvl w:val="0"/>
          <w:numId w:val="2"/>
        </w:numPr>
        <w:spacing w:after="60"/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Owned $125M P&amp;L and grew annual practice revenue to $100M, managing services economics including margin optimization, resource planning, and value-based pricing</w:t>
      </w:r>
    </w:p>
    <w:p w14:paraId="4ED9CC19" w14:textId="1B580C5C" w:rsidR="00AA77A8" w:rsidRPr="003C0003" w:rsidRDefault="00AA77A8" w:rsidP="00AF4AD6">
      <w:pPr>
        <w:pStyle w:val="ListParagraph"/>
        <w:numPr>
          <w:ilvl w:val="0"/>
          <w:numId w:val="2"/>
        </w:numPr>
        <w:spacing w:after="60"/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Deployed PGMO frameworks across portfolios exceeding $250M, ensuring 100% on-time, on-budget delivery</w:t>
      </w:r>
    </w:p>
    <w:p w14:paraId="52E84AED" w14:textId="05A14F66" w:rsidR="00AA77A8" w:rsidRPr="003C0003" w:rsidRDefault="00AA77A8" w:rsidP="00AF4AD6">
      <w:pPr>
        <w:pStyle w:val="ListParagraph"/>
        <w:numPr>
          <w:ilvl w:val="0"/>
          <w:numId w:val="2"/>
        </w:numPr>
        <w:spacing w:after="60"/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Built and led cross-functional teams of 5</w:t>
      </w:r>
      <w:r w:rsidR="00ED2C79" w:rsidRPr="003C0003">
        <w:rPr>
          <w:sz w:val="20"/>
          <w:szCs w:val="20"/>
        </w:rPr>
        <w:t>0</w:t>
      </w:r>
      <w:r w:rsidRPr="003C0003">
        <w:rPr>
          <w:sz w:val="20"/>
          <w:szCs w:val="20"/>
        </w:rPr>
        <w:t>+ consultants, practice directors, and engagement managers across 10+ concurrent enterprise engagements</w:t>
      </w:r>
    </w:p>
    <w:p w14:paraId="348F4DF3" w14:textId="5B0F38B2" w:rsidR="00AA77A8" w:rsidRPr="003C0003" w:rsidRDefault="00AA77A8" w:rsidP="00C902FB">
      <w:pPr>
        <w:spacing w:after="40"/>
        <w:rPr>
          <w:i/>
          <w:iCs/>
          <w:sz w:val="20"/>
          <w:szCs w:val="20"/>
        </w:rPr>
      </w:pPr>
      <w:r w:rsidRPr="003C0003">
        <w:rPr>
          <w:i/>
          <w:iCs/>
          <w:sz w:val="20"/>
          <w:szCs w:val="20"/>
        </w:rPr>
        <w:t>Methodology &amp; Scalable Delivery:</w:t>
      </w:r>
    </w:p>
    <w:p w14:paraId="78AE33AC" w14:textId="453738C9" w:rsidR="00AA77A8" w:rsidRPr="003C0003" w:rsidRDefault="00AA77A8" w:rsidP="00AF4AD6">
      <w:pPr>
        <w:pStyle w:val="ListParagraph"/>
        <w:numPr>
          <w:ilvl w:val="0"/>
          <w:numId w:val="3"/>
        </w:numPr>
        <w:spacing w:after="60"/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Established standardized delivery methodology and governance frameworks that enabled scalable, repeatable engagement execution across diverse state programs</w:t>
      </w:r>
    </w:p>
    <w:p w14:paraId="4E0149DD" w14:textId="401EB027" w:rsidR="00AA77A8" w:rsidRPr="003C0003" w:rsidRDefault="00AA77A8" w:rsidP="00AF4AD6">
      <w:pPr>
        <w:pStyle w:val="ListParagraph"/>
        <w:numPr>
          <w:ilvl w:val="0"/>
          <w:numId w:val="3"/>
        </w:numPr>
        <w:spacing w:after="60"/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Codified proposal methodology with reusable playbooks and response assets that increased contract win rates from 20% to 80%, securing major Medicaid and HIE contracts</w:t>
      </w:r>
    </w:p>
    <w:p w14:paraId="227B9135" w14:textId="08266E93" w:rsidR="00AA77A8" w:rsidRPr="003C0003" w:rsidRDefault="00AA77A8" w:rsidP="00AF4AD6">
      <w:pPr>
        <w:pStyle w:val="ListParagraph"/>
        <w:numPr>
          <w:ilvl w:val="0"/>
          <w:numId w:val="3"/>
        </w:numPr>
        <w:spacing w:after="60"/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Created quality assurance standards and executive governance cadences that achieved 100% client retention</w:t>
      </w:r>
    </w:p>
    <w:p w14:paraId="797E63A2" w14:textId="74CD84CA" w:rsidR="00AA77A8" w:rsidRPr="003C0003" w:rsidRDefault="00AA77A8" w:rsidP="00AF4AD6">
      <w:pPr>
        <w:pStyle w:val="ListParagraph"/>
        <w:numPr>
          <w:ilvl w:val="0"/>
          <w:numId w:val="3"/>
        </w:numPr>
        <w:spacing w:after="60"/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Built reusable IP and delivery accelerators that reduced engagement ramp-up time and improved team productivity</w:t>
      </w:r>
    </w:p>
    <w:p w14:paraId="119BA3A5" w14:textId="3F261CC2" w:rsidR="00AA77A8" w:rsidRPr="003C0003" w:rsidRDefault="00AA77A8" w:rsidP="00C902FB">
      <w:pPr>
        <w:spacing w:after="40"/>
        <w:rPr>
          <w:i/>
          <w:iCs/>
          <w:sz w:val="20"/>
          <w:szCs w:val="20"/>
        </w:rPr>
      </w:pPr>
      <w:r w:rsidRPr="003C0003">
        <w:rPr>
          <w:i/>
          <w:iCs/>
          <w:sz w:val="20"/>
          <w:szCs w:val="20"/>
        </w:rPr>
        <w:t>Transformation &amp; Client Impact:</w:t>
      </w:r>
    </w:p>
    <w:p w14:paraId="1AE1AC97" w14:textId="25E0515B" w:rsidR="00AA77A8" w:rsidRPr="003C0003" w:rsidRDefault="00AA77A8" w:rsidP="00AF4AD6">
      <w:pPr>
        <w:pStyle w:val="ListParagraph"/>
        <w:numPr>
          <w:ilvl w:val="0"/>
          <w:numId w:val="4"/>
        </w:numPr>
        <w:spacing w:after="60"/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Led large-scale digital transformation, M&amp;A integration, and post-merger operational consolidation engagements for government healthcare programs</w:t>
      </w:r>
    </w:p>
    <w:p w14:paraId="5EA6CBF2" w14:textId="29C132A0" w:rsidR="00AA77A8" w:rsidRPr="003C0003" w:rsidRDefault="00AA77A8" w:rsidP="00AF4AD6">
      <w:pPr>
        <w:pStyle w:val="ListParagraph"/>
        <w:numPr>
          <w:ilvl w:val="0"/>
          <w:numId w:val="4"/>
        </w:numPr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Delivered measurable efficiency gains of 20–40% across complex multi-stakeholder environments</w:t>
      </w:r>
    </w:p>
    <w:p w14:paraId="3FEAF61E" w14:textId="7B0A854E" w:rsidR="00AA77A8" w:rsidRPr="003C0003" w:rsidRDefault="00AA77A8" w:rsidP="00AF4AD6">
      <w:pPr>
        <w:pStyle w:val="ListParagraph"/>
        <w:numPr>
          <w:ilvl w:val="0"/>
          <w:numId w:val="4"/>
        </w:numPr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Served as trusted advisor to C-suite and government agency leadership on transformation strategy, program governance, and execution</w:t>
      </w:r>
    </w:p>
    <w:p w14:paraId="33F0AE0C" w14:textId="35E6B150" w:rsidR="00AA77A8" w:rsidRPr="003C0003" w:rsidRDefault="00AA77A8" w:rsidP="00AF4AD6">
      <w:pPr>
        <w:pStyle w:val="ListParagraph"/>
        <w:numPr>
          <w:ilvl w:val="0"/>
          <w:numId w:val="4"/>
        </w:numPr>
        <w:ind w:left="450" w:hanging="270"/>
        <w:rPr>
          <w:sz w:val="20"/>
          <w:szCs w:val="20"/>
        </w:rPr>
      </w:pPr>
      <w:r w:rsidRPr="003C0003">
        <w:rPr>
          <w:sz w:val="20"/>
          <w:szCs w:val="20"/>
        </w:rPr>
        <w:t>Triaged and revitalized underperforming program initiatives, restoring delivery timelines and stakeholder confidence</w:t>
      </w:r>
    </w:p>
    <w:p w14:paraId="4E9DF332" w14:textId="516010A6" w:rsidR="00AA77A8" w:rsidRPr="00AD095D" w:rsidRDefault="00AA77A8" w:rsidP="00CC5532">
      <w:pPr>
        <w:spacing w:after="0"/>
        <w:rPr>
          <w:sz w:val="22"/>
          <w:szCs w:val="22"/>
        </w:rPr>
      </w:pPr>
      <w:r w:rsidRPr="00622ED9">
        <w:rPr>
          <w:b/>
          <w:bCs/>
          <w:sz w:val="22"/>
          <w:szCs w:val="22"/>
        </w:rPr>
        <w:lastRenderedPageBreak/>
        <w:t>DGCpartners LLC</w:t>
      </w:r>
      <w:r w:rsidRPr="00AD095D">
        <w:rPr>
          <w:sz w:val="22"/>
          <w:szCs w:val="22"/>
        </w:rPr>
        <w:t xml:space="preserve"> — Portland, ME</w:t>
      </w:r>
    </w:p>
    <w:p w14:paraId="1C879CD5" w14:textId="50970B03" w:rsidR="00AA77A8" w:rsidRPr="00CC5532" w:rsidRDefault="00AA77A8" w:rsidP="003C0003">
      <w:pPr>
        <w:spacing w:after="60"/>
        <w:rPr>
          <w:szCs w:val="21"/>
        </w:rPr>
      </w:pPr>
      <w:r w:rsidRPr="00CC5532">
        <w:rPr>
          <w:b/>
          <w:bCs/>
          <w:i/>
          <w:iCs/>
          <w:szCs w:val="21"/>
        </w:rPr>
        <w:t>Managing Principal &amp; Chief Programs Officer</w:t>
      </w:r>
      <w:r w:rsidRPr="00CC5532">
        <w:rPr>
          <w:szCs w:val="21"/>
        </w:rPr>
        <w:t xml:space="preserve"> | Dec 2012 – Present</w:t>
      </w:r>
    </w:p>
    <w:p w14:paraId="057922D5" w14:textId="1D8A37AB" w:rsidR="00AA77A8" w:rsidRPr="00A44CC3" w:rsidRDefault="00AA77A8" w:rsidP="00A44CC3">
      <w:pPr>
        <w:spacing w:after="60"/>
        <w:rPr>
          <w:sz w:val="20"/>
          <w:szCs w:val="20"/>
        </w:rPr>
      </w:pPr>
      <w:r w:rsidRPr="00A44CC3">
        <w:rPr>
          <w:sz w:val="20"/>
          <w:szCs w:val="20"/>
        </w:rPr>
        <w:t>Founded and scaled a professional services firm delivering enterprise</w:t>
      </w:r>
      <w:r w:rsidR="00F70F22">
        <w:rPr>
          <w:sz w:val="20"/>
          <w:szCs w:val="20"/>
        </w:rPr>
        <w:t xml:space="preserve"> strategy execution</w:t>
      </w:r>
      <w:r w:rsidR="003E1C8D">
        <w:rPr>
          <w:sz w:val="20"/>
          <w:szCs w:val="20"/>
        </w:rPr>
        <w:t xml:space="preserve"> &amp;</w:t>
      </w:r>
      <w:r w:rsidRPr="00A44CC3">
        <w:rPr>
          <w:sz w:val="20"/>
          <w:szCs w:val="20"/>
        </w:rPr>
        <w:t xml:space="preserve"> transformation, cloud migration, and operational optimization for healthcare, insurance, and government clients. </w:t>
      </w:r>
      <w:r w:rsidR="00622ED9" w:rsidRPr="00A44CC3">
        <w:rPr>
          <w:sz w:val="20"/>
          <w:szCs w:val="20"/>
        </w:rPr>
        <w:t xml:space="preserve"> </w:t>
      </w:r>
      <w:r w:rsidRPr="00A44CC3">
        <w:rPr>
          <w:sz w:val="20"/>
          <w:szCs w:val="20"/>
        </w:rPr>
        <w:t>Built the firm's delivery methodology, governance frameworks, and reusable IP from the ground up</w:t>
      </w:r>
      <w:r w:rsidR="00622ED9" w:rsidRPr="00A44CC3">
        <w:rPr>
          <w:sz w:val="20"/>
          <w:szCs w:val="20"/>
        </w:rPr>
        <w:t xml:space="preserve">, </w:t>
      </w:r>
      <w:r w:rsidRPr="00A44CC3">
        <w:rPr>
          <w:sz w:val="20"/>
          <w:szCs w:val="20"/>
        </w:rPr>
        <w:t>demonstrating practice architecture at the firm level.</w:t>
      </w:r>
    </w:p>
    <w:p w14:paraId="346E1FD0" w14:textId="664BC368" w:rsidR="00AA77A8" w:rsidRPr="00A44CC3" w:rsidRDefault="00AA77A8" w:rsidP="00C902FB">
      <w:pPr>
        <w:spacing w:after="40"/>
        <w:rPr>
          <w:i/>
          <w:iCs/>
          <w:sz w:val="20"/>
          <w:szCs w:val="20"/>
        </w:rPr>
      </w:pPr>
      <w:r w:rsidRPr="00A44CC3">
        <w:rPr>
          <w:i/>
          <w:iCs/>
          <w:sz w:val="20"/>
          <w:szCs w:val="20"/>
        </w:rPr>
        <w:t>Practice Architecture &amp; Economics:</w:t>
      </w:r>
    </w:p>
    <w:p w14:paraId="7FC750A4" w14:textId="368E0D5C" w:rsidR="00AA77A8" w:rsidRPr="00A44CC3" w:rsidRDefault="00AA77A8" w:rsidP="002D3D05">
      <w:pPr>
        <w:pStyle w:val="ListParagraph"/>
        <w:numPr>
          <w:ilvl w:val="0"/>
          <w:numId w:val="5"/>
        </w:numPr>
        <w:spacing w:after="60"/>
        <w:ind w:left="450" w:hanging="270"/>
        <w:rPr>
          <w:sz w:val="20"/>
          <w:szCs w:val="20"/>
        </w:rPr>
      </w:pPr>
      <w:r w:rsidRPr="00A44CC3">
        <w:rPr>
          <w:sz w:val="20"/>
          <w:szCs w:val="20"/>
        </w:rPr>
        <w:t>Designed and codified transformation delivery methodology serving as the firm's scalable framework across all engagements</w:t>
      </w:r>
    </w:p>
    <w:p w14:paraId="1C6D9ADE" w14:textId="515C1966" w:rsidR="00AA77A8" w:rsidRPr="00A44CC3" w:rsidRDefault="00AA77A8" w:rsidP="002D3D05">
      <w:pPr>
        <w:pStyle w:val="ListParagraph"/>
        <w:numPr>
          <w:ilvl w:val="0"/>
          <w:numId w:val="5"/>
        </w:numPr>
        <w:spacing w:after="60"/>
        <w:ind w:left="450" w:hanging="270"/>
        <w:rPr>
          <w:sz w:val="20"/>
          <w:szCs w:val="20"/>
        </w:rPr>
      </w:pPr>
      <w:r w:rsidRPr="00A44CC3">
        <w:rPr>
          <w:sz w:val="20"/>
          <w:szCs w:val="20"/>
        </w:rPr>
        <w:t>Achieved 42% project margins with 78% resource utilization through data-driven financial controls and value-based pricing</w:t>
      </w:r>
    </w:p>
    <w:p w14:paraId="33DAF0B8" w14:textId="275ADED3" w:rsidR="00AA77A8" w:rsidRPr="00A44CC3" w:rsidRDefault="00AA77A8" w:rsidP="002D3D05">
      <w:pPr>
        <w:pStyle w:val="ListParagraph"/>
        <w:numPr>
          <w:ilvl w:val="0"/>
          <w:numId w:val="5"/>
        </w:numPr>
        <w:spacing w:after="60"/>
        <w:ind w:left="450" w:hanging="270"/>
        <w:rPr>
          <w:sz w:val="20"/>
          <w:szCs w:val="20"/>
        </w:rPr>
      </w:pPr>
      <w:r w:rsidRPr="00A44CC3">
        <w:rPr>
          <w:sz w:val="20"/>
          <w:szCs w:val="20"/>
        </w:rPr>
        <w:t>Built reusable assets, playbooks, and governance templates that accelerated client time-to-value across healthcare and government engagements</w:t>
      </w:r>
    </w:p>
    <w:p w14:paraId="715193EA" w14:textId="714F98A9" w:rsidR="00AA77A8" w:rsidRPr="00A44CC3" w:rsidRDefault="00AA77A8" w:rsidP="002D3D05">
      <w:pPr>
        <w:pStyle w:val="ListParagraph"/>
        <w:numPr>
          <w:ilvl w:val="0"/>
          <w:numId w:val="5"/>
        </w:numPr>
        <w:spacing w:after="60"/>
        <w:ind w:left="450" w:hanging="270"/>
        <w:rPr>
          <w:sz w:val="20"/>
          <w:szCs w:val="20"/>
        </w:rPr>
      </w:pPr>
      <w:r w:rsidRPr="00A44CC3">
        <w:rPr>
          <w:sz w:val="20"/>
          <w:szCs w:val="20"/>
        </w:rPr>
        <w:t>Managed full</w:t>
      </w:r>
      <w:r w:rsidR="00E501EF" w:rsidRPr="00A44CC3">
        <w:rPr>
          <w:sz w:val="20"/>
          <w:szCs w:val="20"/>
        </w:rPr>
        <w:t>-service</w:t>
      </w:r>
      <w:r w:rsidRPr="00A44CC3">
        <w:rPr>
          <w:sz w:val="20"/>
          <w:szCs w:val="20"/>
        </w:rPr>
        <w:t xml:space="preserve"> economics: pricing strategy, resource allocation, margin optimization, and practice profitability</w:t>
      </w:r>
    </w:p>
    <w:p w14:paraId="7AF86024" w14:textId="1BF3B825" w:rsidR="00AA77A8" w:rsidRPr="00A44CC3" w:rsidRDefault="009D71D5" w:rsidP="00C902FB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Strategic </w:t>
      </w:r>
      <w:r w:rsidR="00AA77A8" w:rsidRPr="00A44CC3">
        <w:rPr>
          <w:i/>
          <w:iCs/>
          <w:sz w:val="20"/>
          <w:szCs w:val="20"/>
        </w:rPr>
        <w:t>Client Outcomes &amp; Delivery Excellence:</w:t>
      </w:r>
    </w:p>
    <w:p w14:paraId="258D3B2B" w14:textId="02790C31" w:rsidR="00AA77A8" w:rsidRPr="00A44CC3" w:rsidRDefault="00AA77A8" w:rsidP="002D3D05">
      <w:pPr>
        <w:pStyle w:val="ListParagraph"/>
        <w:numPr>
          <w:ilvl w:val="0"/>
          <w:numId w:val="6"/>
        </w:numPr>
        <w:spacing w:after="60"/>
        <w:ind w:left="450" w:hanging="270"/>
        <w:rPr>
          <w:sz w:val="20"/>
          <w:szCs w:val="20"/>
        </w:rPr>
      </w:pPr>
      <w:r w:rsidRPr="00A44CC3">
        <w:rPr>
          <w:sz w:val="20"/>
          <w:szCs w:val="20"/>
        </w:rPr>
        <w:t>Delivered 35% faster delivery, 20% IT cost reduction, and 25–30% operational expense reduction through cloud migration and AI-driven automation</w:t>
      </w:r>
    </w:p>
    <w:p w14:paraId="36239E4A" w14:textId="2E8BB919" w:rsidR="00AA77A8" w:rsidRPr="00A44CC3" w:rsidRDefault="00AA77A8" w:rsidP="002D3D05">
      <w:pPr>
        <w:pStyle w:val="ListParagraph"/>
        <w:numPr>
          <w:ilvl w:val="0"/>
          <w:numId w:val="6"/>
        </w:numPr>
        <w:spacing w:after="60"/>
        <w:ind w:left="450" w:hanging="270"/>
        <w:rPr>
          <w:sz w:val="20"/>
          <w:szCs w:val="20"/>
        </w:rPr>
      </w:pPr>
      <w:r w:rsidRPr="00A44CC3">
        <w:rPr>
          <w:sz w:val="20"/>
          <w:szCs w:val="20"/>
        </w:rPr>
        <w:t>Maintained 92% client retention and improved NPS by 37 points through executive-level account governance and delivery excellence</w:t>
      </w:r>
    </w:p>
    <w:p w14:paraId="0F7C432B" w14:textId="1DFD0BD8" w:rsidR="00AA77A8" w:rsidRPr="00A44CC3" w:rsidRDefault="00AA77A8" w:rsidP="002D3D05">
      <w:pPr>
        <w:pStyle w:val="ListParagraph"/>
        <w:numPr>
          <w:ilvl w:val="0"/>
          <w:numId w:val="6"/>
        </w:numPr>
        <w:spacing w:after="60"/>
        <w:ind w:left="450" w:hanging="270"/>
        <w:rPr>
          <w:sz w:val="20"/>
          <w:szCs w:val="20"/>
        </w:rPr>
      </w:pPr>
      <w:r w:rsidRPr="00A44CC3">
        <w:rPr>
          <w:sz w:val="20"/>
          <w:szCs w:val="20"/>
        </w:rPr>
        <w:t>Enhanced data quality, reducing errors by 25% and improving analytics accuracy by 40%</w:t>
      </w:r>
    </w:p>
    <w:p w14:paraId="2D298AA2" w14:textId="1939436F" w:rsidR="00AA77A8" w:rsidRPr="00A44CC3" w:rsidRDefault="00213A26" w:rsidP="002D3D05">
      <w:pPr>
        <w:pStyle w:val="ListParagraph"/>
        <w:numPr>
          <w:ilvl w:val="0"/>
          <w:numId w:val="6"/>
        </w:numPr>
        <w:spacing w:after="60"/>
        <w:ind w:left="450" w:hanging="270"/>
        <w:rPr>
          <w:sz w:val="20"/>
          <w:szCs w:val="20"/>
        </w:rPr>
      </w:pPr>
      <w:r>
        <w:rPr>
          <w:sz w:val="20"/>
          <w:szCs w:val="20"/>
        </w:rPr>
        <w:t>Assessed, t</w:t>
      </w:r>
      <w:r w:rsidR="00AA77A8" w:rsidRPr="00A44CC3">
        <w:rPr>
          <w:sz w:val="20"/>
          <w:szCs w:val="20"/>
        </w:rPr>
        <w:t>riaged</w:t>
      </w:r>
      <w:r>
        <w:rPr>
          <w:sz w:val="20"/>
          <w:szCs w:val="20"/>
        </w:rPr>
        <w:t>,</w:t>
      </w:r>
      <w:r w:rsidR="00AA77A8" w:rsidRPr="00A44CC3">
        <w:rPr>
          <w:sz w:val="20"/>
          <w:szCs w:val="20"/>
        </w:rPr>
        <w:t xml:space="preserve"> and revitalized </w:t>
      </w:r>
      <w:r>
        <w:rPr>
          <w:sz w:val="20"/>
          <w:szCs w:val="20"/>
        </w:rPr>
        <w:t>struggling</w:t>
      </w:r>
      <w:r w:rsidR="00AA77A8" w:rsidRPr="00A44CC3">
        <w:rPr>
          <w:sz w:val="20"/>
          <w:szCs w:val="20"/>
        </w:rPr>
        <w:t xml:space="preserve"> client initiatives, converting at-risk </w:t>
      </w:r>
      <w:r>
        <w:rPr>
          <w:sz w:val="20"/>
          <w:szCs w:val="20"/>
        </w:rPr>
        <w:t xml:space="preserve">initiatives </w:t>
      </w:r>
      <w:r w:rsidR="00AA77A8" w:rsidRPr="00A44CC3">
        <w:rPr>
          <w:sz w:val="20"/>
          <w:szCs w:val="20"/>
        </w:rPr>
        <w:t>into successful outcomes</w:t>
      </w:r>
    </w:p>
    <w:p w14:paraId="1108B04B" w14:textId="3CB5BC5C" w:rsidR="00AA77A8" w:rsidRPr="00A44CC3" w:rsidRDefault="00AA77A8" w:rsidP="004200A5">
      <w:pPr>
        <w:rPr>
          <w:sz w:val="20"/>
          <w:szCs w:val="20"/>
        </w:rPr>
      </w:pPr>
      <w:r w:rsidRPr="00A44CC3">
        <w:rPr>
          <w:sz w:val="20"/>
          <w:szCs w:val="20"/>
          <w:u w:val="single"/>
        </w:rPr>
        <w:t>Key Clients</w:t>
      </w:r>
      <w:r w:rsidRPr="00A44CC3">
        <w:rPr>
          <w:sz w:val="20"/>
          <w:szCs w:val="20"/>
        </w:rPr>
        <w:t>: Blue Cross Blue Shield (Horizon-NJ, LA, SC, Regence Group), MaineHealth/NorDx, Yale</w:t>
      </w:r>
      <w:r w:rsidR="00B96358">
        <w:rPr>
          <w:sz w:val="20"/>
          <w:szCs w:val="20"/>
        </w:rPr>
        <w:t>-</w:t>
      </w:r>
      <w:r w:rsidRPr="00A44CC3">
        <w:rPr>
          <w:sz w:val="20"/>
          <w:szCs w:val="20"/>
        </w:rPr>
        <w:t>New Haven Hospital, Gold Coast Health Plan, State of Maine</w:t>
      </w:r>
    </w:p>
    <w:p w14:paraId="746B14A6" w14:textId="3C278E33" w:rsidR="00AA77A8" w:rsidRPr="00442DEB" w:rsidRDefault="00AA77A8" w:rsidP="00626408">
      <w:pPr>
        <w:spacing w:after="0"/>
        <w:rPr>
          <w:szCs w:val="21"/>
        </w:rPr>
      </w:pPr>
      <w:r w:rsidRPr="00442DEB">
        <w:rPr>
          <w:b/>
          <w:bCs/>
          <w:szCs w:val="21"/>
        </w:rPr>
        <w:t>Cambridge Retail Advisors</w:t>
      </w:r>
      <w:r w:rsidRPr="00442DEB">
        <w:rPr>
          <w:szCs w:val="21"/>
        </w:rPr>
        <w:t xml:space="preserve"> </w:t>
      </w:r>
      <w:r w:rsidR="00622ED9" w:rsidRPr="00442DEB">
        <w:rPr>
          <w:szCs w:val="21"/>
        </w:rPr>
        <w:t>(formerly BRP Consulting/Windstream</w:t>
      </w:r>
      <w:r w:rsidRPr="00442DEB">
        <w:rPr>
          <w:szCs w:val="21"/>
        </w:rPr>
        <w:t>— Cambridge, MA</w:t>
      </w:r>
    </w:p>
    <w:p w14:paraId="4B041D8A" w14:textId="446E68AF" w:rsidR="00AA77A8" w:rsidRPr="00442DEB" w:rsidRDefault="00AA77A8" w:rsidP="00626408">
      <w:pPr>
        <w:spacing w:after="40"/>
        <w:rPr>
          <w:szCs w:val="21"/>
        </w:rPr>
      </w:pPr>
      <w:r w:rsidRPr="00442DEB">
        <w:rPr>
          <w:b/>
          <w:bCs/>
          <w:i/>
          <w:iCs/>
          <w:szCs w:val="21"/>
        </w:rPr>
        <w:t>Technology Practice Lead &amp; Senior Advisor</w:t>
      </w:r>
      <w:r w:rsidRPr="00442DEB">
        <w:rPr>
          <w:szCs w:val="21"/>
        </w:rPr>
        <w:t xml:space="preserve"> | Sep 2017 – </w:t>
      </w:r>
      <w:r w:rsidR="00F779DF">
        <w:rPr>
          <w:szCs w:val="21"/>
        </w:rPr>
        <w:t>Jan 2026</w:t>
      </w:r>
    </w:p>
    <w:p w14:paraId="0272B91E" w14:textId="54870B26" w:rsidR="00AA77A8" w:rsidRPr="00626408" w:rsidRDefault="00AA77A8" w:rsidP="00626408">
      <w:pPr>
        <w:spacing w:after="40"/>
        <w:rPr>
          <w:sz w:val="20"/>
          <w:szCs w:val="20"/>
        </w:rPr>
      </w:pPr>
      <w:r w:rsidRPr="00626408">
        <w:rPr>
          <w:sz w:val="20"/>
          <w:szCs w:val="20"/>
        </w:rPr>
        <w:t xml:space="preserve">Lead executive advisory practice delivering transformation strategy to enterprise clients, with </w:t>
      </w:r>
      <w:r w:rsidR="00622ED9" w:rsidRPr="00626408">
        <w:rPr>
          <w:sz w:val="20"/>
          <w:szCs w:val="20"/>
        </w:rPr>
        <w:t xml:space="preserve">a </w:t>
      </w:r>
      <w:r w:rsidRPr="00626408">
        <w:rPr>
          <w:sz w:val="20"/>
          <w:szCs w:val="20"/>
        </w:rPr>
        <w:t>focus on healthcare technology optimization and go-to-market expansion.</w:t>
      </w:r>
    </w:p>
    <w:p w14:paraId="22382D85" w14:textId="4CD7AB22" w:rsidR="00AA77A8" w:rsidRPr="00626408" w:rsidRDefault="00AA77A8" w:rsidP="002D3D05">
      <w:pPr>
        <w:pStyle w:val="ListParagraph"/>
        <w:numPr>
          <w:ilvl w:val="0"/>
          <w:numId w:val="7"/>
        </w:numPr>
        <w:ind w:left="450" w:hanging="270"/>
        <w:rPr>
          <w:sz w:val="20"/>
          <w:szCs w:val="20"/>
        </w:rPr>
      </w:pPr>
      <w:r w:rsidRPr="00626408">
        <w:rPr>
          <w:sz w:val="20"/>
          <w:szCs w:val="20"/>
        </w:rPr>
        <w:t>Drove $1.2M+ annual revenue growth through cross-functional team leadership and tailored go-to-market strategies</w:t>
      </w:r>
    </w:p>
    <w:p w14:paraId="6037020E" w14:textId="3EA91002" w:rsidR="00AA77A8" w:rsidRPr="00626408" w:rsidRDefault="00AA77A8" w:rsidP="002D3D05">
      <w:pPr>
        <w:pStyle w:val="ListParagraph"/>
        <w:numPr>
          <w:ilvl w:val="0"/>
          <w:numId w:val="7"/>
        </w:numPr>
        <w:ind w:left="450" w:hanging="270"/>
        <w:rPr>
          <w:sz w:val="20"/>
          <w:szCs w:val="20"/>
        </w:rPr>
      </w:pPr>
      <w:r w:rsidRPr="00626408">
        <w:rPr>
          <w:sz w:val="20"/>
          <w:szCs w:val="20"/>
        </w:rPr>
        <w:t>Acquired three major healthcare accounts, expanding practice offerings through targeted solution development and RFx leadership</w:t>
      </w:r>
    </w:p>
    <w:p w14:paraId="3956B4DE" w14:textId="53E783B2" w:rsidR="00AA77A8" w:rsidRPr="00626408" w:rsidRDefault="00AA77A8" w:rsidP="002D3D05">
      <w:pPr>
        <w:pStyle w:val="ListParagraph"/>
        <w:numPr>
          <w:ilvl w:val="0"/>
          <w:numId w:val="7"/>
        </w:numPr>
        <w:ind w:left="450" w:hanging="270"/>
        <w:rPr>
          <w:sz w:val="20"/>
          <w:szCs w:val="20"/>
        </w:rPr>
      </w:pPr>
      <w:r w:rsidRPr="00626408">
        <w:rPr>
          <w:sz w:val="20"/>
          <w:szCs w:val="20"/>
        </w:rPr>
        <w:t>Advised C-suite executives on AI-driven process reengineering, M&amp;A technology integration, operational efficiency, and digital transformation roadmaps</w:t>
      </w:r>
    </w:p>
    <w:p w14:paraId="2788245E" w14:textId="44DCB63E" w:rsidR="00AA77A8" w:rsidRPr="00442DEB" w:rsidRDefault="00AA77A8" w:rsidP="002D3D05">
      <w:pPr>
        <w:pStyle w:val="ListParagraph"/>
        <w:numPr>
          <w:ilvl w:val="0"/>
          <w:numId w:val="7"/>
        </w:numPr>
        <w:spacing w:after="60"/>
        <w:ind w:left="450" w:hanging="270"/>
        <w:rPr>
          <w:szCs w:val="21"/>
        </w:rPr>
      </w:pPr>
      <w:r w:rsidRPr="00626408">
        <w:rPr>
          <w:sz w:val="20"/>
          <w:szCs w:val="20"/>
        </w:rPr>
        <w:t>Increased</w:t>
      </w:r>
      <w:r w:rsidRPr="00442DEB">
        <w:rPr>
          <w:szCs w:val="21"/>
        </w:rPr>
        <w:t xml:space="preserve"> client satisfaction by 15% through structured engagement governance</w:t>
      </w:r>
      <w:r w:rsidR="00213A26">
        <w:rPr>
          <w:szCs w:val="21"/>
        </w:rPr>
        <w:t>,</w:t>
      </w:r>
      <w:r w:rsidRPr="00442DEB">
        <w:rPr>
          <w:szCs w:val="21"/>
        </w:rPr>
        <w:t xml:space="preserve"> and delivery accountability</w:t>
      </w:r>
    </w:p>
    <w:p w14:paraId="5A64044C" w14:textId="232E96CB" w:rsidR="00AA77A8" w:rsidRPr="000838BB" w:rsidRDefault="00622ED9" w:rsidP="000F5C23">
      <w:pPr>
        <w:spacing w:after="60"/>
        <w:rPr>
          <w:b/>
          <w:bCs/>
          <w:i/>
          <w:iCs/>
          <w:color w:val="156082" w:themeColor="accent1"/>
          <w:sz w:val="22"/>
          <w:szCs w:val="22"/>
        </w:rPr>
      </w:pPr>
      <w:r w:rsidRPr="000838BB">
        <w:rPr>
          <w:b/>
          <w:bCs/>
          <w:i/>
          <w:iCs/>
          <w:color w:val="156082" w:themeColor="accent1"/>
          <w:sz w:val="22"/>
          <w:szCs w:val="22"/>
        </w:rPr>
        <w:t>Other Employers</w:t>
      </w:r>
    </w:p>
    <w:p w14:paraId="4B573900" w14:textId="1BCCA747" w:rsidR="00622ED9" w:rsidRPr="00626408" w:rsidRDefault="00622ED9" w:rsidP="00442DEB">
      <w:pPr>
        <w:spacing w:after="60"/>
        <w:rPr>
          <w:szCs w:val="21"/>
        </w:rPr>
      </w:pPr>
      <w:r w:rsidRPr="00626408">
        <w:rPr>
          <w:b/>
          <w:bCs/>
          <w:szCs w:val="21"/>
        </w:rPr>
        <w:t>IBM</w:t>
      </w:r>
      <w:r w:rsidRPr="00626408">
        <w:rPr>
          <w:szCs w:val="21"/>
        </w:rPr>
        <w:t xml:space="preserve"> – Senior Managing Consultant – Healthcare</w:t>
      </w:r>
    </w:p>
    <w:p w14:paraId="2D673AA2" w14:textId="727A1F46" w:rsidR="00622ED9" w:rsidRPr="00626408" w:rsidRDefault="00622ED9" w:rsidP="002D3D05">
      <w:pPr>
        <w:pStyle w:val="ListParagraph"/>
        <w:numPr>
          <w:ilvl w:val="0"/>
          <w:numId w:val="14"/>
        </w:numPr>
        <w:ind w:left="450" w:hanging="270"/>
        <w:rPr>
          <w:sz w:val="20"/>
          <w:szCs w:val="20"/>
        </w:rPr>
      </w:pPr>
      <w:r w:rsidRPr="00626408">
        <w:rPr>
          <w:sz w:val="20"/>
          <w:szCs w:val="20"/>
        </w:rPr>
        <w:t>Led enterprise tools M&amp;A Post-Merger Integration (</w:t>
      </w:r>
      <w:proofErr w:type="gramStart"/>
      <w:r w:rsidRPr="00626408">
        <w:rPr>
          <w:sz w:val="20"/>
          <w:szCs w:val="20"/>
        </w:rPr>
        <w:t>blue</w:t>
      </w:r>
      <w:r w:rsidR="000838BB" w:rsidRPr="00626408">
        <w:rPr>
          <w:sz w:val="20"/>
          <w:szCs w:val="20"/>
        </w:rPr>
        <w:t>-</w:t>
      </w:r>
      <w:r w:rsidRPr="00626408">
        <w:rPr>
          <w:sz w:val="20"/>
          <w:szCs w:val="20"/>
        </w:rPr>
        <w:t>washing</w:t>
      </w:r>
      <w:proofErr w:type="gramEnd"/>
      <w:r w:rsidRPr="00626408">
        <w:rPr>
          <w:sz w:val="20"/>
          <w:szCs w:val="20"/>
        </w:rPr>
        <w:t>)</w:t>
      </w:r>
    </w:p>
    <w:p w14:paraId="635A1581" w14:textId="0D77BBC9" w:rsidR="00622ED9" w:rsidRPr="00AF5269" w:rsidRDefault="000838BB" w:rsidP="002D3D05">
      <w:pPr>
        <w:pStyle w:val="ListParagraph"/>
        <w:numPr>
          <w:ilvl w:val="0"/>
          <w:numId w:val="14"/>
        </w:numPr>
        <w:ind w:left="450" w:hanging="270"/>
        <w:rPr>
          <w:szCs w:val="21"/>
        </w:rPr>
      </w:pPr>
      <w:r w:rsidRPr="00626408">
        <w:rPr>
          <w:sz w:val="20"/>
          <w:szCs w:val="20"/>
        </w:rPr>
        <w:t>SME for</w:t>
      </w:r>
      <w:r w:rsidRPr="00AF5269">
        <w:rPr>
          <w:szCs w:val="21"/>
        </w:rPr>
        <w:t xml:space="preserve"> IT Service Management improvement initiative – The Regence Group/Cambia Health</w:t>
      </w:r>
    </w:p>
    <w:p w14:paraId="5B830BC3" w14:textId="4D719D18" w:rsidR="00AA77A8" w:rsidRPr="00626408" w:rsidRDefault="00AA77A8" w:rsidP="00442DEB">
      <w:pPr>
        <w:spacing w:after="60"/>
        <w:rPr>
          <w:szCs w:val="21"/>
        </w:rPr>
      </w:pPr>
      <w:r w:rsidRPr="00626408">
        <w:rPr>
          <w:b/>
          <w:bCs/>
          <w:szCs w:val="21"/>
        </w:rPr>
        <w:t>GD/BIW</w:t>
      </w:r>
      <w:r w:rsidRPr="00626408">
        <w:rPr>
          <w:szCs w:val="21"/>
        </w:rPr>
        <w:t xml:space="preserve"> — Corporate Initiatives Program Manager</w:t>
      </w:r>
    </w:p>
    <w:p w14:paraId="0751A40C" w14:textId="700D1617" w:rsidR="00AA77A8" w:rsidRPr="00626408" w:rsidRDefault="00AA77A8" w:rsidP="002D3D05">
      <w:pPr>
        <w:pStyle w:val="ListParagraph"/>
        <w:numPr>
          <w:ilvl w:val="0"/>
          <w:numId w:val="8"/>
        </w:numPr>
        <w:ind w:left="450" w:hanging="270"/>
        <w:rPr>
          <w:sz w:val="20"/>
          <w:szCs w:val="20"/>
        </w:rPr>
      </w:pPr>
      <w:r w:rsidRPr="00626408">
        <w:rPr>
          <w:sz w:val="20"/>
          <w:szCs w:val="20"/>
        </w:rPr>
        <w:t>Led enterprise-wide MRP/ERP/</w:t>
      </w:r>
      <w:proofErr w:type="gramStart"/>
      <w:r w:rsidRPr="00626408">
        <w:rPr>
          <w:sz w:val="20"/>
          <w:szCs w:val="20"/>
        </w:rPr>
        <w:t>MES</w:t>
      </w:r>
      <w:proofErr w:type="gramEnd"/>
      <w:r w:rsidRPr="00626408">
        <w:rPr>
          <w:sz w:val="20"/>
          <w:szCs w:val="20"/>
        </w:rPr>
        <w:t xml:space="preserve"> transformation programs across manufacturing operations</w:t>
      </w:r>
    </w:p>
    <w:p w14:paraId="620F26CA" w14:textId="6E2FF3D5" w:rsidR="00AA77A8" w:rsidRPr="00626408" w:rsidRDefault="00AA77A8" w:rsidP="002D3D05">
      <w:pPr>
        <w:pStyle w:val="ListParagraph"/>
        <w:numPr>
          <w:ilvl w:val="0"/>
          <w:numId w:val="8"/>
        </w:numPr>
        <w:ind w:left="450" w:hanging="270"/>
        <w:rPr>
          <w:sz w:val="20"/>
          <w:szCs w:val="20"/>
        </w:rPr>
      </w:pPr>
      <w:r w:rsidRPr="00626408">
        <w:rPr>
          <w:sz w:val="20"/>
          <w:szCs w:val="20"/>
        </w:rPr>
        <w:t>Managed cross-functional delivery teams through complex systems integration and process redesign</w:t>
      </w:r>
    </w:p>
    <w:p w14:paraId="7A5009B1" w14:textId="3C2E16DC" w:rsidR="00AA77A8" w:rsidRPr="00626408" w:rsidRDefault="00AA77A8" w:rsidP="002D3D05">
      <w:pPr>
        <w:pStyle w:val="ListParagraph"/>
        <w:numPr>
          <w:ilvl w:val="0"/>
          <w:numId w:val="8"/>
        </w:numPr>
        <w:ind w:left="450" w:hanging="270"/>
        <w:rPr>
          <w:sz w:val="20"/>
          <w:szCs w:val="20"/>
        </w:rPr>
      </w:pPr>
      <w:r w:rsidRPr="00626408">
        <w:rPr>
          <w:sz w:val="20"/>
          <w:szCs w:val="20"/>
        </w:rPr>
        <w:t xml:space="preserve">Delivered operational efficiency improvements supporting production optimization in </w:t>
      </w:r>
      <w:r w:rsidR="000838BB" w:rsidRPr="00626408">
        <w:rPr>
          <w:sz w:val="20"/>
          <w:szCs w:val="20"/>
        </w:rPr>
        <w:t xml:space="preserve">a </w:t>
      </w:r>
      <w:r w:rsidRPr="00626408">
        <w:rPr>
          <w:sz w:val="20"/>
          <w:szCs w:val="20"/>
        </w:rPr>
        <w:t>regulated defense environment</w:t>
      </w:r>
    </w:p>
    <w:p w14:paraId="16697953" w14:textId="1078AC34" w:rsidR="00AA77A8" w:rsidRPr="000838BB" w:rsidRDefault="00AA77A8" w:rsidP="000F5C23">
      <w:pPr>
        <w:spacing w:after="60"/>
        <w:rPr>
          <w:b/>
          <w:bCs/>
          <w:color w:val="156082" w:themeColor="accent1"/>
          <w:sz w:val="22"/>
          <w:szCs w:val="22"/>
        </w:rPr>
      </w:pPr>
      <w:r w:rsidRPr="000838BB">
        <w:rPr>
          <w:b/>
          <w:bCs/>
          <w:color w:val="156082" w:themeColor="accent1"/>
          <w:sz w:val="22"/>
          <w:szCs w:val="22"/>
        </w:rPr>
        <w:t>Community &amp; Board Leadership</w:t>
      </w:r>
    </w:p>
    <w:p w14:paraId="6F160DB5" w14:textId="79DA6B25" w:rsidR="00AA77A8" w:rsidRPr="000F5C23" w:rsidRDefault="00AA77A8" w:rsidP="002D3D05">
      <w:pPr>
        <w:pStyle w:val="ListParagraph"/>
        <w:numPr>
          <w:ilvl w:val="0"/>
          <w:numId w:val="9"/>
        </w:numPr>
        <w:ind w:left="450" w:hanging="270"/>
        <w:rPr>
          <w:sz w:val="20"/>
          <w:szCs w:val="20"/>
        </w:rPr>
      </w:pPr>
      <w:r w:rsidRPr="000F5C23">
        <w:rPr>
          <w:b/>
          <w:bCs/>
          <w:sz w:val="20"/>
          <w:szCs w:val="20"/>
        </w:rPr>
        <w:t>Town of Dresden</w:t>
      </w:r>
      <w:r w:rsidRPr="000F5C23">
        <w:rPr>
          <w:sz w:val="20"/>
          <w:szCs w:val="20"/>
        </w:rPr>
        <w:t>, Board Chair (2022–2025): Directed $5.4M municipal budget, secured $4M in infrastructure grants, expanded broadband access by 95%.</w:t>
      </w:r>
      <w:r w:rsidR="000838BB" w:rsidRPr="000F5C23">
        <w:rPr>
          <w:sz w:val="20"/>
          <w:szCs w:val="20"/>
        </w:rPr>
        <w:t xml:space="preserve">  </w:t>
      </w:r>
      <w:r w:rsidRPr="000F5C23">
        <w:rPr>
          <w:sz w:val="20"/>
          <w:szCs w:val="20"/>
        </w:rPr>
        <w:t>Led governance, financial planning, and cross-agency partnerships.</w:t>
      </w:r>
    </w:p>
    <w:p w14:paraId="3C18C03B" w14:textId="10CF37E0" w:rsidR="00AA77A8" w:rsidRPr="000F5C23" w:rsidRDefault="00AA77A8" w:rsidP="002D3D05">
      <w:pPr>
        <w:pStyle w:val="ListParagraph"/>
        <w:numPr>
          <w:ilvl w:val="0"/>
          <w:numId w:val="9"/>
        </w:numPr>
        <w:ind w:left="450" w:hanging="270"/>
        <w:rPr>
          <w:sz w:val="20"/>
          <w:szCs w:val="20"/>
        </w:rPr>
      </w:pPr>
      <w:r w:rsidRPr="000F5C23">
        <w:rPr>
          <w:b/>
          <w:bCs/>
          <w:sz w:val="20"/>
          <w:szCs w:val="20"/>
        </w:rPr>
        <w:t>Dresden Digital Equity</w:t>
      </w:r>
      <w:r w:rsidRPr="000F5C23">
        <w:rPr>
          <w:sz w:val="20"/>
          <w:szCs w:val="20"/>
        </w:rPr>
        <w:t>, Executive Director (2021–Present): Co-founded public-private digital inclusion initiative; secured $400K+ in funding, expanded access to 450+ homes and businesses, reduced underserved population by 50%.</w:t>
      </w:r>
    </w:p>
    <w:p w14:paraId="1C936B6E" w14:textId="4B4D6074" w:rsidR="00AA77A8" w:rsidRPr="000F5C23" w:rsidRDefault="00AA77A8" w:rsidP="002D3D05">
      <w:pPr>
        <w:pStyle w:val="ListParagraph"/>
        <w:numPr>
          <w:ilvl w:val="0"/>
          <w:numId w:val="9"/>
        </w:numPr>
        <w:ind w:left="450" w:hanging="270"/>
        <w:rPr>
          <w:sz w:val="20"/>
          <w:szCs w:val="20"/>
        </w:rPr>
      </w:pPr>
      <w:r w:rsidRPr="000F5C23">
        <w:rPr>
          <w:b/>
          <w:bCs/>
          <w:sz w:val="20"/>
          <w:szCs w:val="20"/>
        </w:rPr>
        <w:t>Wisconsin Health Information Organization</w:t>
      </w:r>
      <w:r w:rsidRPr="000F5C23">
        <w:rPr>
          <w:sz w:val="20"/>
          <w:szCs w:val="20"/>
        </w:rPr>
        <w:t xml:space="preserve"> (WHIO): UHG-Optum executive sponsor; drove data quality improvement and evidence-based analytics initiatives across </w:t>
      </w:r>
      <w:r w:rsidR="000838BB" w:rsidRPr="000F5C23">
        <w:rPr>
          <w:sz w:val="20"/>
          <w:szCs w:val="20"/>
        </w:rPr>
        <w:t xml:space="preserve">a </w:t>
      </w:r>
      <w:r w:rsidRPr="000F5C23">
        <w:rPr>
          <w:sz w:val="20"/>
          <w:szCs w:val="20"/>
        </w:rPr>
        <w:t>multi-payer collaborative.</w:t>
      </w:r>
    </w:p>
    <w:p w14:paraId="1E055411" w14:textId="39D624B2" w:rsidR="00AA77A8" w:rsidRPr="000838BB" w:rsidRDefault="00AA77A8" w:rsidP="006638EB">
      <w:pPr>
        <w:spacing w:after="60"/>
        <w:rPr>
          <w:b/>
          <w:bCs/>
          <w:color w:val="156082" w:themeColor="accent1"/>
          <w:sz w:val="24"/>
        </w:rPr>
      </w:pPr>
      <w:r w:rsidRPr="000838BB">
        <w:rPr>
          <w:b/>
          <w:bCs/>
          <w:color w:val="156082" w:themeColor="accent1"/>
          <w:sz w:val="24"/>
        </w:rPr>
        <w:t>Education</w:t>
      </w:r>
    </w:p>
    <w:p w14:paraId="634D6C08" w14:textId="79913B5C" w:rsidR="00AA77A8" w:rsidRPr="006638EB" w:rsidRDefault="00AA77A8" w:rsidP="002D3D05">
      <w:pPr>
        <w:pStyle w:val="ListParagraph"/>
        <w:numPr>
          <w:ilvl w:val="0"/>
          <w:numId w:val="10"/>
        </w:numPr>
        <w:ind w:left="450" w:hanging="270"/>
        <w:rPr>
          <w:sz w:val="20"/>
          <w:szCs w:val="20"/>
        </w:rPr>
      </w:pPr>
      <w:r w:rsidRPr="006638EB">
        <w:rPr>
          <w:b/>
          <w:bCs/>
          <w:sz w:val="20"/>
          <w:szCs w:val="20"/>
        </w:rPr>
        <w:t>Master of Science (M.S</w:t>
      </w:r>
      <w:r w:rsidR="006638EB" w:rsidRPr="006638EB">
        <w:rPr>
          <w:b/>
          <w:bCs/>
          <w:sz w:val="20"/>
          <w:szCs w:val="20"/>
        </w:rPr>
        <w:t>.)</w:t>
      </w:r>
      <w:r w:rsidRPr="006638EB">
        <w:rPr>
          <w:sz w:val="20"/>
          <w:szCs w:val="20"/>
        </w:rPr>
        <w:t>, Management | Thomas Edison State University, Trenton, NJ</w:t>
      </w:r>
    </w:p>
    <w:p w14:paraId="2C366226" w14:textId="19138B20" w:rsidR="00AA77A8" w:rsidRPr="006638EB" w:rsidRDefault="00AA77A8" w:rsidP="002D3D05">
      <w:pPr>
        <w:pStyle w:val="ListParagraph"/>
        <w:numPr>
          <w:ilvl w:val="0"/>
          <w:numId w:val="10"/>
        </w:numPr>
        <w:spacing w:after="60"/>
        <w:ind w:left="450" w:hanging="270"/>
        <w:rPr>
          <w:sz w:val="20"/>
          <w:szCs w:val="20"/>
        </w:rPr>
      </w:pPr>
      <w:r w:rsidRPr="006638EB">
        <w:rPr>
          <w:b/>
          <w:bCs/>
          <w:sz w:val="20"/>
          <w:szCs w:val="20"/>
        </w:rPr>
        <w:t>Bachelor of Science (B.S</w:t>
      </w:r>
      <w:r w:rsidR="006638EB" w:rsidRPr="006638EB">
        <w:rPr>
          <w:sz w:val="20"/>
          <w:szCs w:val="20"/>
        </w:rPr>
        <w:t>.)</w:t>
      </w:r>
      <w:r w:rsidRPr="006638EB">
        <w:rPr>
          <w:sz w:val="20"/>
          <w:szCs w:val="20"/>
        </w:rPr>
        <w:t>, Wildlife Biology | Colorado State University, Fort Collins, CO</w:t>
      </w:r>
    </w:p>
    <w:p w14:paraId="3647BDB9" w14:textId="36BE358F" w:rsidR="00AA77A8" w:rsidRPr="006638EB" w:rsidRDefault="00AA77A8" w:rsidP="006638EB">
      <w:pPr>
        <w:spacing w:after="60"/>
        <w:rPr>
          <w:i/>
          <w:iCs/>
          <w:sz w:val="20"/>
          <w:szCs w:val="20"/>
        </w:rPr>
      </w:pPr>
      <w:r w:rsidRPr="006638EB">
        <w:rPr>
          <w:i/>
          <w:iCs/>
          <w:color w:val="156082" w:themeColor="accent1"/>
          <w:sz w:val="20"/>
          <w:szCs w:val="20"/>
        </w:rPr>
        <w:t>Certifications</w:t>
      </w:r>
    </w:p>
    <w:p w14:paraId="13F0C743" w14:textId="465029C7" w:rsidR="00AA77A8" w:rsidRPr="006638EB" w:rsidRDefault="00AA77A8" w:rsidP="002D3D05">
      <w:pPr>
        <w:pStyle w:val="ListParagraph"/>
        <w:numPr>
          <w:ilvl w:val="0"/>
          <w:numId w:val="11"/>
        </w:numPr>
        <w:spacing w:after="60"/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Certified AI Strategy Leadership &amp; Project Management Professional™ (2026)</w:t>
      </w:r>
    </w:p>
    <w:p w14:paraId="17191302" w14:textId="48DE0C18" w:rsidR="00AA77A8" w:rsidRPr="006638EB" w:rsidRDefault="00AA77A8" w:rsidP="002D3D05">
      <w:pPr>
        <w:pStyle w:val="ListParagraph"/>
        <w:numPr>
          <w:ilvl w:val="0"/>
          <w:numId w:val="11"/>
        </w:numPr>
        <w:spacing w:after="60"/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ITIL Foundations v3 (IT Service Management)</w:t>
      </w:r>
    </w:p>
    <w:p w14:paraId="37FAFA03" w14:textId="7B0A0C4E" w:rsidR="00AA77A8" w:rsidRPr="006638EB" w:rsidRDefault="00AA77A8" w:rsidP="002D3D05">
      <w:pPr>
        <w:pStyle w:val="ListParagraph"/>
        <w:numPr>
          <w:ilvl w:val="0"/>
          <w:numId w:val="11"/>
        </w:numPr>
        <w:spacing w:after="60"/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NIMS ICS (FEMA — Emergency Management &amp; Incident Command)</w:t>
      </w:r>
    </w:p>
    <w:p w14:paraId="276425C5" w14:textId="6750933E" w:rsidR="00AA77A8" w:rsidRPr="006638EB" w:rsidRDefault="00AA77A8" w:rsidP="006638EB">
      <w:pPr>
        <w:spacing w:after="60"/>
        <w:rPr>
          <w:i/>
          <w:iCs/>
          <w:color w:val="156082" w:themeColor="accent1"/>
          <w:sz w:val="20"/>
          <w:szCs w:val="20"/>
        </w:rPr>
      </w:pPr>
      <w:r w:rsidRPr="006638EB">
        <w:rPr>
          <w:i/>
          <w:iCs/>
          <w:color w:val="156082" w:themeColor="accent1"/>
          <w:sz w:val="20"/>
          <w:szCs w:val="20"/>
        </w:rPr>
        <w:lastRenderedPageBreak/>
        <w:t>Technology &amp; Methodology Expertise</w:t>
      </w:r>
    </w:p>
    <w:p w14:paraId="3A8A4318" w14:textId="53FE5ECB" w:rsidR="00AA77A8" w:rsidRPr="006638EB" w:rsidRDefault="00AA77A8" w:rsidP="002D3D05">
      <w:pPr>
        <w:pStyle w:val="ListParagraph"/>
        <w:numPr>
          <w:ilvl w:val="0"/>
          <w:numId w:val="12"/>
        </w:numPr>
        <w:spacing w:after="60"/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Transformation Delivery: Agile, Waterfall, Hybrid; PGMO/PMO/TMO Frameworks; Stage-Gate Governance; RFx/Proposal Methodology</w:t>
      </w:r>
    </w:p>
    <w:p w14:paraId="653CBC5E" w14:textId="49A9A376" w:rsidR="00AA77A8" w:rsidRPr="006638EB" w:rsidRDefault="00AA77A8" w:rsidP="002D3D05">
      <w:pPr>
        <w:pStyle w:val="ListParagraph"/>
        <w:numPr>
          <w:ilvl w:val="0"/>
          <w:numId w:val="12"/>
        </w:numPr>
        <w:spacing w:after="60"/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Cloud &amp; Digital: SaaS, Cloud Migration, AI/ML-Driven Process Automation</w:t>
      </w:r>
    </w:p>
    <w:p w14:paraId="66135B61" w14:textId="7022988B" w:rsidR="00AA77A8" w:rsidRPr="006638EB" w:rsidRDefault="00AA77A8" w:rsidP="002D3D05">
      <w:pPr>
        <w:pStyle w:val="ListParagraph"/>
        <w:numPr>
          <w:ilvl w:val="0"/>
          <w:numId w:val="12"/>
        </w:numPr>
        <w:spacing w:after="60"/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Platforms: SAP, Workday, Epicor, Azure, MS365, Tableau, Power BI, SQL</w:t>
      </w:r>
      <w:r w:rsidR="00935C99">
        <w:rPr>
          <w:sz w:val="20"/>
          <w:szCs w:val="20"/>
        </w:rPr>
        <w:t>, MSProject</w:t>
      </w:r>
      <w:r w:rsidR="0012254C">
        <w:rPr>
          <w:sz w:val="20"/>
          <w:szCs w:val="20"/>
        </w:rPr>
        <w:t>,</w:t>
      </w:r>
      <w:r w:rsidR="00935C99">
        <w:rPr>
          <w:sz w:val="20"/>
          <w:szCs w:val="20"/>
        </w:rPr>
        <w:t xml:space="preserve"> and other </w:t>
      </w:r>
      <w:r w:rsidR="0012254C">
        <w:rPr>
          <w:sz w:val="20"/>
          <w:szCs w:val="20"/>
        </w:rPr>
        <w:t>PM software</w:t>
      </w:r>
    </w:p>
    <w:p w14:paraId="0FA59466" w14:textId="29BA57EE" w:rsidR="00AA77A8" w:rsidRPr="006638EB" w:rsidRDefault="00AA77A8" w:rsidP="002D3D05">
      <w:pPr>
        <w:pStyle w:val="ListParagraph"/>
        <w:numPr>
          <w:ilvl w:val="0"/>
          <w:numId w:val="12"/>
        </w:numPr>
        <w:spacing w:after="60"/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Governance &amp; Standards: ITIL, COBIT, NIST, ISO-27001</w:t>
      </w:r>
      <w:r w:rsidR="0012254C">
        <w:rPr>
          <w:sz w:val="20"/>
          <w:szCs w:val="20"/>
        </w:rPr>
        <w:t>, ISO-</w:t>
      </w:r>
      <w:r w:rsidR="00003343">
        <w:rPr>
          <w:sz w:val="20"/>
          <w:szCs w:val="20"/>
        </w:rPr>
        <w:t>2</w:t>
      </w:r>
      <w:r w:rsidR="00B90180">
        <w:rPr>
          <w:sz w:val="20"/>
          <w:szCs w:val="20"/>
        </w:rPr>
        <w:t>2301</w:t>
      </w:r>
      <w:r w:rsidR="00003343">
        <w:rPr>
          <w:sz w:val="20"/>
          <w:szCs w:val="20"/>
        </w:rPr>
        <w:t xml:space="preserve">, </w:t>
      </w:r>
    </w:p>
    <w:p w14:paraId="7F8DCC06" w14:textId="03184A18" w:rsidR="00AA77A8" w:rsidRPr="006638EB" w:rsidRDefault="00AA77A8" w:rsidP="006638EB">
      <w:pPr>
        <w:spacing w:after="60"/>
        <w:rPr>
          <w:i/>
          <w:iCs/>
          <w:color w:val="156082" w:themeColor="accent1"/>
          <w:sz w:val="20"/>
          <w:szCs w:val="20"/>
        </w:rPr>
      </w:pPr>
      <w:r w:rsidRPr="006638EB">
        <w:rPr>
          <w:i/>
          <w:iCs/>
          <w:color w:val="156082" w:themeColor="accent1"/>
          <w:sz w:val="20"/>
          <w:szCs w:val="20"/>
        </w:rPr>
        <w:t>Professional Memberships</w:t>
      </w:r>
    </w:p>
    <w:p w14:paraId="072F32F2" w14:textId="71EFE532" w:rsidR="00AA77A8" w:rsidRPr="006638EB" w:rsidRDefault="00AA77A8" w:rsidP="002D3D05">
      <w:pPr>
        <w:pStyle w:val="ListParagraph"/>
        <w:numPr>
          <w:ilvl w:val="0"/>
          <w:numId w:val="13"/>
        </w:numPr>
        <w:spacing w:after="60"/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Project Management Institute (PMI) &amp; PMO Global Alliance</w:t>
      </w:r>
    </w:p>
    <w:p w14:paraId="38C213E7" w14:textId="64374E50" w:rsidR="00AA77A8" w:rsidRPr="006638EB" w:rsidRDefault="00AA77A8" w:rsidP="002D3D05">
      <w:pPr>
        <w:pStyle w:val="ListParagraph"/>
        <w:numPr>
          <w:ilvl w:val="0"/>
          <w:numId w:val="13"/>
        </w:numPr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Healthcare Information and Management Systems Society (HIMSS)</w:t>
      </w:r>
    </w:p>
    <w:p w14:paraId="08826248" w14:textId="58F88BB8" w:rsidR="00AA77A8" w:rsidRPr="006638EB" w:rsidRDefault="00AA77A8" w:rsidP="002D3D05">
      <w:pPr>
        <w:pStyle w:val="ListParagraph"/>
        <w:numPr>
          <w:ilvl w:val="0"/>
          <w:numId w:val="13"/>
        </w:numPr>
        <w:ind w:left="450" w:hanging="270"/>
        <w:rPr>
          <w:sz w:val="20"/>
          <w:szCs w:val="20"/>
        </w:rPr>
      </w:pPr>
      <w:r w:rsidRPr="006638EB">
        <w:rPr>
          <w:sz w:val="20"/>
          <w:szCs w:val="20"/>
        </w:rPr>
        <w:t>Information Systems Audit and Control Association (ISACA)</w:t>
      </w:r>
    </w:p>
    <w:p w14:paraId="27AB4380" w14:textId="1E950BD8" w:rsidR="00AA77A8" w:rsidRPr="00AF5269" w:rsidRDefault="00AA77A8" w:rsidP="006638EB">
      <w:pPr>
        <w:spacing w:after="60"/>
        <w:rPr>
          <w:b/>
          <w:bCs/>
          <w:color w:val="156082" w:themeColor="accent1"/>
          <w:sz w:val="24"/>
        </w:rPr>
      </w:pPr>
      <w:r w:rsidRPr="00AF5269">
        <w:rPr>
          <w:b/>
          <w:bCs/>
          <w:color w:val="156082" w:themeColor="accent1"/>
          <w:sz w:val="24"/>
        </w:rPr>
        <w:t>Key Accomplishments</w:t>
      </w:r>
    </w:p>
    <w:p w14:paraId="371FF42C" w14:textId="397AB009" w:rsidR="00AA77A8" w:rsidRPr="006638EB" w:rsidRDefault="00AA77A8" w:rsidP="002D3D05">
      <w:pPr>
        <w:pStyle w:val="ListParagraph"/>
        <w:numPr>
          <w:ilvl w:val="0"/>
          <w:numId w:val="15"/>
        </w:numPr>
        <w:spacing w:after="0"/>
        <w:ind w:left="450" w:hanging="270"/>
        <w:contextualSpacing w:val="0"/>
        <w:rPr>
          <w:sz w:val="20"/>
          <w:szCs w:val="20"/>
        </w:rPr>
      </w:pPr>
      <w:r w:rsidRPr="006638EB">
        <w:rPr>
          <w:sz w:val="20"/>
          <w:szCs w:val="20"/>
        </w:rPr>
        <w:t>P&amp;L Ownership</w:t>
      </w:r>
      <w:proofErr w:type="gramStart"/>
      <w:r w:rsidR="00AF5269" w:rsidRPr="006638EB">
        <w:rPr>
          <w:sz w:val="20"/>
          <w:szCs w:val="20"/>
        </w:rPr>
        <w:t xml:space="preserve">:  </w:t>
      </w:r>
      <w:r w:rsidRPr="006638EB">
        <w:rPr>
          <w:sz w:val="20"/>
          <w:szCs w:val="20"/>
        </w:rPr>
        <w:t>$</w:t>
      </w:r>
      <w:proofErr w:type="gramEnd"/>
      <w:r w:rsidRPr="006638EB">
        <w:rPr>
          <w:sz w:val="20"/>
          <w:szCs w:val="20"/>
        </w:rPr>
        <w:t>125M direct; $250M+ portfolio oversight</w:t>
      </w:r>
    </w:p>
    <w:p w14:paraId="5FE7008B" w14:textId="39AB2486" w:rsidR="00AA77A8" w:rsidRPr="006638EB" w:rsidRDefault="00AA77A8" w:rsidP="002D3D05">
      <w:pPr>
        <w:pStyle w:val="ListParagraph"/>
        <w:numPr>
          <w:ilvl w:val="0"/>
          <w:numId w:val="15"/>
        </w:numPr>
        <w:spacing w:after="0"/>
        <w:ind w:left="450" w:hanging="270"/>
        <w:contextualSpacing w:val="0"/>
        <w:rPr>
          <w:sz w:val="20"/>
          <w:szCs w:val="20"/>
        </w:rPr>
      </w:pPr>
      <w:r w:rsidRPr="006638EB">
        <w:rPr>
          <w:sz w:val="20"/>
          <w:szCs w:val="20"/>
        </w:rPr>
        <w:t>Practice Revenue Growth</w:t>
      </w:r>
      <w:proofErr w:type="gramStart"/>
      <w:r w:rsidR="00AF5269" w:rsidRPr="006638EB">
        <w:rPr>
          <w:sz w:val="20"/>
          <w:szCs w:val="20"/>
        </w:rPr>
        <w:t xml:space="preserve">:  </w:t>
      </w:r>
      <w:r w:rsidRPr="006638EB">
        <w:rPr>
          <w:sz w:val="20"/>
          <w:szCs w:val="20"/>
        </w:rPr>
        <w:t>Scaled</w:t>
      </w:r>
      <w:proofErr w:type="gramEnd"/>
      <w:r w:rsidRPr="006638EB">
        <w:rPr>
          <w:sz w:val="20"/>
          <w:szCs w:val="20"/>
        </w:rPr>
        <w:t xml:space="preserve"> to $100M annually (UHG/Optum)</w:t>
      </w:r>
    </w:p>
    <w:p w14:paraId="3C0CB60E" w14:textId="7FFF8314" w:rsidR="00AA77A8" w:rsidRPr="006638EB" w:rsidRDefault="00AA77A8" w:rsidP="002D3D05">
      <w:pPr>
        <w:pStyle w:val="ListParagraph"/>
        <w:numPr>
          <w:ilvl w:val="0"/>
          <w:numId w:val="15"/>
        </w:numPr>
        <w:spacing w:after="0"/>
        <w:ind w:left="450" w:hanging="270"/>
        <w:contextualSpacing w:val="0"/>
        <w:rPr>
          <w:sz w:val="20"/>
          <w:szCs w:val="20"/>
        </w:rPr>
      </w:pPr>
      <w:r w:rsidRPr="006638EB">
        <w:rPr>
          <w:sz w:val="20"/>
          <w:szCs w:val="20"/>
        </w:rPr>
        <w:t>Transformations Led</w:t>
      </w:r>
      <w:proofErr w:type="gramStart"/>
      <w:r w:rsidR="00AF5269" w:rsidRPr="006638EB">
        <w:rPr>
          <w:sz w:val="20"/>
          <w:szCs w:val="20"/>
        </w:rPr>
        <w:t xml:space="preserve">: </w:t>
      </w:r>
      <w:r w:rsidRPr="006638EB">
        <w:rPr>
          <w:sz w:val="20"/>
          <w:szCs w:val="20"/>
        </w:rPr>
        <w:t xml:space="preserve"> 20</w:t>
      </w:r>
      <w:proofErr w:type="gramEnd"/>
      <w:r w:rsidRPr="006638EB">
        <w:rPr>
          <w:sz w:val="20"/>
          <w:szCs w:val="20"/>
        </w:rPr>
        <w:t>+ across healthcare, insurance, government, defense</w:t>
      </w:r>
    </w:p>
    <w:p w14:paraId="4EB0FD98" w14:textId="4FD2B5E3" w:rsidR="00AA77A8" w:rsidRPr="006638EB" w:rsidRDefault="00AA77A8" w:rsidP="002D3D05">
      <w:pPr>
        <w:pStyle w:val="ListParagraph"/>
        <w:numPr>
          <w:ilvl w:val="0"/>
          <w:numId w:val="15"/>
        </w:numPr>
        <w:spacing w:after="0"/>
        <w:ind w:left="450" w:hanging="270"/>
        <w:contextualSpacing w:val="0"/>
        <w:rPr>
          <w:sz w:val="20"/>
          <w:szCs w:val="20"/>
        </w:rPr>
      </w:pPr>
      <w:r w:rsidRPr="006638EB">
        <w:rPr>
          <w:sz w:val="20"/>
          <w:szCs w:val="20"/>
        </w:rPr>
        <w:t>Client Cost Optimization</w:t>
      </w:r>
      <w:proofErr w:type="gramStart"/>
      <w:r w:rsidR="00AF5269" w:rsidRPr="006638EB">
        <w:rPr>
          <w:sz w:val="20"/>
          <w:szCs w:val="20"/>
        </w:rPr>
        <w:t xml:space="preserve">:  </w:t>
      </w:r>
      <w:r w:rsidRPr="006638EB">
        <w:rPr>
          <w:sz w:val="20"/>
          <w:szCs w:val="20"/>
        </w:rPr>
        <w:t>$</w:t>
      </w:r>
      <w:proofErr w:type="gramEnd"/>
      <w:r w:rsidRPr="006638EB">
        <w:rPr>
          <w:sz w:val="20"/>
          <w:szCs w:val="20"/>
        </w:rPr>
        <w:t>50M+ delivered through automation &amp; operational excellence</w:t>
      </w:r>
    </w:p>
    <w:p w14:paraId="76FD8722" w14:textId="4C2FB2FB" w:rsidR="00AA77A8" w:rsidRPr="006638EB" w:rsidRDefault="00AA77A8" w:rsidP="002D3D05">
      <w:pPr>
        <w:pStyle w:val="ListParagraph"/>
        <w:numPr>
          <w:ilvl w:val="0"/>
          <w:numId w:val="15"/>
        </w:numPr>
        <w:spacing w:after="0"/>
        <w:ind w:left="450" w:hanging="270"/>
        <w:contextualSpacing w:val="0"/>
        <w:rPr>
          <w:sz w:val="20"/>
          <w:szCs w:val="20"/>
        </w:rPr>
      </w:pPr>
      <w:r w:rsidRPr="006638EB">
        <w:rPr>
          <w:sz w:val="20"/>
          <w:szCs w:val="20"/>
        </w:rPr>
        <w:t>Efficiency Gains</w:t>
      </w:r>
      <w:r w:rsidR="00AF5269" w:rsidRPr="006638EB">
        <w:rPr>
          <w:sz w:val="20"/>
          <w:szCs w:val="20"/>
        </w:rPr>
        <w:t>: 3</w:t>
      </w:r>
      <w:r w:rsidRPr="006638EB">
        <w:rPr>
          <w:sz w:val="20"/>
          <w:szCs w:val="20"/>
        </w:rPr>
        <w:t>0–40% consistently across enterprise engagements</w:t>
      </w:r>
    </w:p>
    <w:p w14:paraId="77361829" w14:textId="551E21A7" w:rsidR="00AA77A8" w:rsidRPr="006638EB" w:rsidRDefault="00AA77A8" w:rsidP="002D3D05">
      <w:pPr>
        <w:pStyle w:val="ListParagraph"/>
        <w:numPr>
          <w:ilvl w:val="0"/>
          <w:numId w:val="15"/>
        </w:numPr>
        <w:spacing w:after="0"/>
        <w:ind w:left="450" w:hanging="270"/>
        <w:contextualSpacing w:val="0"/>
        <w:rPr>
          <w:sz w:val="20"/>
          <w:szCs w:val="20"/>
        </w:rPr>
      </w:pPr>
      <w:r w:rsidRPr="006638EB">
        <w:rPr>
          <w:sz w:val="20"/>
          <w:szCs w:val="20"/>
        </w:rPr>
        <w:t>Client Retention</w:t>
      </w:r>
      <w:proofErr w:type="gramStart"/>
      <w:r w:rsidR="00AF5269" w:rsidRPr="006638EB">
        <w:rPr>
          <w:sz w:val="20"/>
          <w:szCs w:val="20"/>
        </w:rPr>
        <w:t xml:space="preserve">:  </w:t>
      </w:r>
      <w:r w:rsidRPr="006638EB">
        <w:rPr>
          <w:sz w:val="20"/>
          <w:szCs w:val="20"/>
        </w:rPr>
        <w:t>100</w:t>
      </w:r>
      <w:proofErr w:type="gramEnd"/>
      <w:r w:rsidRPr="006638EB">
        <w:rPr>
          <w:sz w:val="20"/>
          <w:szCs w:val="20"/>
        </w:rPr>
        <w:t>% (Optum); 92% (DGCpartners)</w:t>
      </w:r>
    </w:p>
    <w:p w14:paraId="7149E3FD" w14:textId="496A9F59" w:rsidR="00AA77A8" w:rsidRPr="006638EB" w:rsidRDefault="00AA77A8" w:rsidP="002D3D05">
      <w:pPr>
        <w:pStyle w:val="ListParagraph"/>
        <w:numPr>
          <w:ilvl w:val="0"/>
          <w:numId w:val="15"/>
        </w:numPr>
        <w:spacing w:after="0"/>
        <w:ind w:left="450" w:hanging="270"/>
        <w:contextualSpacing w:val="0"/>
        <w:rPr>
          <w:sz w:val="20"/>
          <w:szCs w:val="20"/>
        </w:rPr>
      </w:pPr>
      <w:r w:rsidRPr="006638EB">
        <w:rPr>
          <w:sz w:val="20"/>
          <w:szCs w:val="20"/>
        </w:rPr>
        <w:t>Project Margins</w:t>
      </w:r>
      <w:proofErr w:type="gramStart"/>
      <w:r w:rsidR="00AF5269" w:rsidRPr="006638EB">
        <w:rPr>
          <w:sz w:val="20"/>
          <w:szCs w:val="20"/>
        </w:rPr>
        <w:t xml:space="preserve">:  </w:t>
      </w:r>
      <w:r w:rsidRPr="006638EB">
        <w:rPr>
          <w:sz w:val="20"/>
          <w:szCs w:val="20"/>
        </w:rPr>
        <w:t>42</w:t>
      </w:r>
      <w:proofErr w:type="gramEnd"/>
      <w:r w:rsidRPr="006638EB">
        <w:rPr>
          <w:sz w:val="20"/>
          <w:szCs w:val="20"/>
        </w:rPr>
        <w:t>% with 78% resource utilization</w:t>
      </w:r>
    </w:p>
    <w:p w14:paraId="3ABC4DEE" w14:textId="5DF118E4" w:rsidR="00AA77A8" w:rsidRPr="006638EB" w:rsidRDefault="00AA77A8" w:rsidP="002D3D05">
      <w:pPr>
        <w:pStyle w:val="ListParagraph"/>
        <w:numPr>
          <w:ilvl w:val="0"/>
          <w:numId w:val="15"/>
        </w:numPr>
        <w:spacing w:after="0"/>
        <w:ind w:left="450" w:hanging="270"/>
        <w:contextualSpacing w:val="0"/>
        <w:rPr>
          <w:sz w:val="20"/>
          <w:szCs w:val="20"/>
        </w:rPr>
      </w:pPr>
      <w:r w:rsidRPr="006638EB">
        <w:rPr>
          <w:sz w:val="20"/>
          <w:szCs w:val="20"/>
        </w:rPr>
        <w:t>Win Rate Improvement</w:t>
      </w:r>
      <w:r w:rsidR="00AF5269" w:rsidRPr="006638EB">
        <w:rPr>
          <w:sz w:val="20"/>
          <w:szCs w:val="20"/>
        </w:rPr>
        <w:t xml:space="preserve">:  </w:t>
      </w:r>
      <w:r w:rsidRPr="006638EB">
        <w:rPr>
          <w:sz w:val="20"/>
          <w:szCs w:val="20"/>
        </w:rPr>
        <w:t xml:space="preserve">20% → 80% through </w:t>
      </w:r>
      <w:r w:rsidR="00757C00">
        <w:rPr>
          <w:sz w:val="20"/>
          <w:szCs w:val="20"/>
        </w:rPr>
        <w:t xml:space="preserve">RFX &amp; PGM </w:t>
      </w:r>
      <w:r w:rsidRPr="006638EB">
        <w:rPr>
          <w:sz w:val="20"/>
          <w:szCs w:val="20"/>
        </w:rPr>
        <w:t>methodology codification</w:t>
      </w:r>
    </w:p>
    <w:p w14:paraId="65068863" w14:textId="17D46902" w:rsidR="00AA77A8" w:rsidRPr="006638EB" w:rsidRDefault="00AA77A8" w:rsidP="002D3D05">
      <w:pPr>
        <w:pStyle w:val="ListParagraph"/>
        <w:numPr>
          <w:ilvl w:val="0"/>
          <w:numId w:val="15"/>
        </w:numPr>
        <w:spacing w:after="0"/>
        <w:ind w:left="450" w:hanging="270"/>
        <w:contextualSpacing w:val="0"/>
        <w:rPr>
          <w:sz w:val="20"/>
          <w:szCs w:val="20"/>
        </w:rPr>
      </w:pPr>
      <w:r w:rsidRPr="006638EB">
        <w:rPr>
          <w:sz w:val="20"/>
          <w:szCs w:val="20"/>
        </w:rPr>
        <w:t>Team Scale</w:t>
      </w:r>
      <w:r w:rsidR="00AF5269" w:rsidRPr="006638EB">
        <w:rPr>
          <w:sz w:val="20"/>
          <w:szCs w:val="20"/>
        </w:rPr>
        <w:t xml:space="preserve">:  </w:t>
      </w:r>
      <w:r w:rsidRPr="006638EB">
        <w:rPr>
          <w:sz w:val="20"/>
          <w:szCs w:val="20"/>
        </w:rPr>
        <w:t>75–100+ consultants, practice directors, engagement managers</w:t>
      </w:r>
    </w:p>
    <w:p w14:paraId="0353F55E" w14:textId="2A2429E2" w:rsidR="0035702E" w:rsidRPr="00757C00" w:rsidRDefault="00AA77A8" w:rsidP="004200A5">
      <w:pPr>
        <w:pStyle w:val="ListParagraph"/>
        <w:numPr>
          <w:ilvl w:val="0"/>
          <w:numId w:val="15"/>
        </w:numPr>
        <w:spacing w:after="0"/>
        <w:ind w:left="450" w:hanging="270"/>
        <w:rPr>
          <w:sz w:val="22"/>
          <w:szCs w:val="22"/>
        </w:rPr>
      </w:pPr>
      <w:r w:rsidRPr="00757C00">
        <w:rPr>
          <w:sz w:val="20"/>
          <w:szCs w:val="20"/>
        </w:rPr>
        <w:t>Delivery Performance</w:t>
      </w:r>
      <w:proofErr w:type="gramStart"/>
      <w:r w:rsidR="00AF5269" w:rsidRPr="00757C00">
        <w:rPr>
          <w:sz w:val="20"/>
          <w:szCs w:val="20"/>
        </w:rPr>
        <w:t>:</w:t>
      </w:r>
      <w:r w:rsidRPr="00757C00">
        <w:rPr>
          <w:sz w:val="20"/>
          <w:szCs w:val="20"/>
        </w:rPr>
        <w:t xml:space="preserve">  100</w:t>
      </w:r>
      <w:proofErr w:type="gramEnd"/>
      <w:r w:rsidRPr="00757C00">
        <w:rPr>
          <w:sz w:val="20"/>
          <w:szCs w:val="20"/>
        </w:rPr>
        <w:t>% on-time, on-budget across $250M+ portfolio</w:t>
      </w:r>
    </w:p>
    <w:sectPr w:rsidR="0035702E" w:rsidRPr="00757C00" w:rsidSect="009B549F">
      <w:pgSz w:w="12240" w:h="15840" w:code="1"/>
      <w:pgMar w:top="720" w:right="720" w:bottom="576" w:left="864" w:header="720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206"/>
    <w:multiLevelType w:val="hybridMultilevel"/>
    <w:tmpl w:val="96B0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3980"/>
    <w:multiLevelType w:val="hybridMultilevel"/>
    <w:tmpl w:val="3554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2CD4"/>
    <w:multiLevelType w:val="hybridMultilevel"/>
    <w:tmpl w:val="F2B8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513A"/>
    <w:multiLevelType w:val="hybridMultilevel"/>
    <w:tmpl w:val="D66E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A3369"/>
    <w:multiLevelType w:val="hybridMultilevel"/>
    <w:tmpl w:val="F5E6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73DB9"/>
    <w:multiLevelType w:val="hybridMultilevel"/>
    <w:tmpl w:val="21EC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00675"/>
    <w:multiLevelType w:val="hybridMultilevel"/>
    <w:tmpl w:val="C2D4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A79B8"/>
    <w:multiLevelType w:val="hybridMultilevel"/>
    <w:tmpl w:val="CB02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E011B"/>
    <w:multiLevelType w:val="hybridMultilevel"/>
    <w:tmpl w:val="1372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42D48"/>
    <w:multiLevelType w:val="hybridMultilevel"/>
    <w:tmpl w:val="BCC8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A50EB"/>
    <w:multiLevelType w:val="hybridMultilevel"/>
    <w:tmpl w:val="0E3C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B0A31"/>
    <w:multiLevelType w:val="hybridMultilevel"/>
    <w:tmpl w:val="5BC8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20822"/>
    <w:multiLevelType w:val="hybridMultilevel"/>
    <w:tmpl w:val="5BDA4440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6AA22890"/>
    <w:multiLevelType w:val="hybridMultilevel"/>
    <w:tmpl w:val="D236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32027"/>
    <w:multiLevelType w:val="hybridMultilevel"/>
    <w:tmpl w:val="603C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8114A"/>
    <w:multiLevelType w:val="hybridMultilevel"/>
    <w:tmpl w:val="09C0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4287">
    <w:abstractNumId w:val="10"/>
  </w:num>
  <w:num w:numId="2" w16cid:durableId="1245527091">
    <w:abstractNumId w:val="5"/>
  </w:num>
  <w:num w:numId="3" w16cid:durableId="674646316">
    <w:abstractNumId w:val="14"/>
  </w:num>
  <w:num w:numId="4" w16cid:durableId="1978954774">
    <w:abstractNumId w:val="4"/>
  </w:num>
  <w:num w:numId="5" w16cid:durableId="418059348">
    <w:abstractNumId w:val="15"/>
  </w:num>
  <w:num w:numId="6" w16cid:durableId="1970277113">
    <w:abstractNumId w:val="3"/>
  </w:num>
  <w:num w:numId="7" w16cid:durableId="415639465">
    <w:abstractNumId w:val="6"/>
  </w:num>
  <w:num w:numId="8" w16cid:durableId="1265462035">
    <w:abstractNumId w:val="1"/>
  </w:num>
  <w:num w:numId="9" w16cid:durableId="1244608777">
    <w:abstractNumId w:val="9"/>
  </w:num>
  <w:num w:numId="10" w16cid:durableId="1175536342">
    <w:abstractNumId w:val="11"/>
  </w:num>
  <w:num w:numId="11" w16cid:durableId="898439129">
    <w:abstractNumId w:val="2"/>
  </w:num>
  <w:num w:numId="12" w16cid:durableId="1401708738">
    <w:abstractNumId w:val="7"/>
  </w:num>
  <w:num w:numId="13" w16cid:durableId="559561329">
    <w:abstractNumId w:val="8"/>
  </w:num>
  <w:num w:numId="14" w16cid:durableId="882787821">
    <w:abstractNumId w:val="13"/>
  </w:num>
  <w:num w:numId="15" w16cid:durableId="1641769337">
    <w:abstractNumId w:val="0"/>
  </w:num>
  <w:num w:numId="16" w16cid:durableId="298848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A8"/>
    <w:rsid w:val="00003343"/>
    <w:rsid w:val="00020C4A"/>
    <w:rsid w:val="0002136A"/>
    <w:rsid w:val="00032C62"/>
    <w:rsid w:val="000332AB"/>
    <w:rsid w:val="0004303B"/>
    <w:rsid w:val="00053695"/>
    <w:rsid w:val="000838BB"/>
    <w:rsid w:val="00083D51"/>
    <w:rsid w:val="00086444"/>
    <w:rsid w:val="000D05B3"/>
    <w:rsid w:val="000E0DA6"/>
    <w:rsid w:val="000F5C23"/>
    <w:rsid w:val="001055BA"/>
    <w:rsid w:val="0012254C"/>
    <w:rsid w:val="001304AF"/>
    <w:rsid w:val="00160F9D"/>
    <w:rsid w:val="00163F5E"/>
    <w:rsid w:val="00175A87"/>
    <w:rsid w:val="001913C9"/>
    <w:rsid w:val="002005D6"/>
    <w:rsid w:val="00201DCE"/>
    <w:rsid w:val="0021095E"/>
    <w:rsid w:val="00213A26"/>
    <w:rsid w:val="0024766E"/>
    <w:rsid w:val="00281DBA"/>
    <w:rsid w:val="002B6F48"/>
    <w:rsid w:val="002D1CFF"/>
    <w:rsid w:val="002D3D05"/>
    <w:rsid w:val="002E0CC4"/>
    <w:rsid w:val="002E554D"/>
    <w:rsid w:val="002F77B3"/>
    <w:rsid w:val="0030431F"/>
    <w:rsid w:val="003070C4"/>
    <w:rsid w:val="0033136F"/>
    <w:rsid w:val="00333115"/>
    <w:rsid w:val="00335932"/>
    <w:rsid w:val="0035702E"/>
    <w:rsid w:val="00361B29"/>
    <w:rsid w:val="003722BE"/>
    <w:rsid w:val="00372C2E"/>
    <w:rsid w:val="00382E5D"/>
    <w:rsid w:val="003917C4"/>
    <w:rsid w:val="003923AC"/>
    <w:rsid w:val="003B4C2A"/>
    <w:rsid w:val="003B5374"/>
    <w:rsid w:val="003B5A5E"/>
    <w:rsid w:val="003C0003"/>
    <w:rsid w:val="003C075B"/>
    <w:rsid w:val="003E1C8D"/>
    <w:rsid w:val="00406B3A"/>
    <w:rsid w:val="004200A5"/>
    <w:rsid w:val="00425370"/>
    <w:rsid w:val="00442DEB"/>
    <w:rsid w:val="004529E0"/>
    <w:rsid w:val="00464682"/>
    <w:rsid w:val="00486520"/>
    <w:rsid w:val="004969CB"/>
    <w:rsid w:val="0050267E"/>
    <w:rsid w:val="00525701"/>
    <w:rsid w:val="00540399"/>
    <w:rsid w:val="005419D7"/>
    <w:rsid w:val="00542E76"/>
    <w:rsid w:val="00545263"/>
    <w:rsid w:val="0055303C"/>
    <w:rsid w:val="00561954"/>
    <w:rsid w:val="00563812"/>
    <w:rsid w:val="005963DE"/>
    <w:rsid w:val="005B7420"/>
    <w:rsid w:val="005C3EFC"/>
    <w:rsid w:val="005D4EB1"/>
    <w:rsid w:val="005E6619"/>
    <w:rsid w:val="005F3DB9"/>
    <w:rsid w:val="00605BB9"/>
    <w:rsid w:val="006120D8"/>
    <w:rsid w:val="00622ED9"/>
    <w:rsid w:val="00626408"/>
    <w:rsid w:val="00630C5D"/>
    <w:rsid w:val="00651449"/>
    <w:rsid w:val="006638EB"/>
    <w:rsid w:val="006772D9"/>
    <w:rsid w:val="0068312A"/>
    <w:rsid w:val="0068581B"/>
    <w:rsid w:val="00696104"/>
    <w:rsid w:val="006B068B"/>
    <w:rsid w:val="006B7CBA"/>
    <w:rsid w:val="006C2660"/>
    <w:rsid w:val="006D6773"/>
    <w:rsid w:val="00715706"/>
    <w:rsid w:val="0071644A"/>
    <w:rsid w:val="00736B68"/>
    <w:rsid w:val="00741F3A"/>
    <w:rsid w:val="0074459B"/>
    <w:rsid w:val="0075048C"/>
    <w:rsid w:val="00757140"/>
    <w:rsid w:val="00757C00"/>
    <w:rsid w:val="00770427"/>
    <w:rsid w:val="007758F2"/>
    <w:rsid w:val="00781118"/>
    <w:rsid w:val="007914AE"/>
    <w:rsid w:val="007A4C01"/>
    <w:rsid w:val="007B254B"/>
    <w:rsid w:val="007C1EB8"/>
    <w:rsid w:val="007C4DEC"/>
    <w:rsid w:val="007E133E"/>
    <w:rsid w:val="007F2820"/>
    <w:rsid w:val="0082282E"/>
    <w:rsid w:val="0084358B"/>
    <w:rsid w:val="00853863"/>
    <w:rsid w:val="008604A1"/>
    <w:rsid w:val="00881E09"/>
    <w:rsid w:val="00891416"/>
    <w:rsid w:val="00893F18"/>
    <w:rsid w:val="008A5400"/>
    <w:rsid w:val="008B27E7"/>
    <w:rsid w:val="008B6E60"/>
    <w:rsid w:val="008B716B"/>
    <w:rsid w:val="008B7826"/>
    <w:rsid w:val="008C2634"/>
    <w:rsid w:val="008D7E5B"/>
    <w:rsid w:val="008E03C9"/>
    <w:rsid w:val="008E31E7"/>
    <w:rsid w:val="008E500D"/>
    <w:rsid w:val="00900C14"/>
    <w:rsid w:val="00915694"/>
    <w:rsid w:val="009167F2"/>
    <w:rsid w:val="00935C99"/>
    <w:rsid w:val="009415C6"/>
    <w:rsid w:val="0096173F"/>
    <w:rsid w:val="009657DF"/>
    <w:rsid w:val="00986882"/>
    <w:rsid w:val="00987478"/>
    <w:rsid w:val="009931FB"/>
    <w:rsid w:val="009A478B"/>
    <w:rsid w:val="009B1D6C"/>
    <w:rsid w:val="009B549F"/>
    <w:rsid w:val="009D02D0"/>
    <w:rsid w:val="009D71D5"/>
    <w:rsid w:val="009E195C"/>
    <w:rsid w:val="009E5930"/>
    <w:rsid w:val="009F5F13"/>
    <w:rsid w:val="00A1363D"/>
    <w:rsid w:val="00A32DDE"/>
    <w:rsid w:val="00A42E87"/>
    <w:rsid w:val="00A44CC3"/>
    <w:rsid w:val="00A47EFF"/>
    <w:rsid w:val="00A562EA"/>
    <w:rsid w:val="00A56A90"/>
    <w:rsid w:val="00A7550C"/>
    <w:rsid w:val="00A866EB"/>
    <w:rsid w:val="00AA02A6"/>
    <w:rsid w:val="00AA58AC"/>
    <w:rsid w:val="00AA77A8"/>
    <w:rsid w:val="00AB7E46"/>
    <w:rsid w:val="00AD095D"/>
    <w:rsid w:val="00AD229B"/>
    <w:rsid w:val="00AF00D6"/>
    <w:rsid w:val="00AF3191"/>
    <w:rsid w:val="00AF40C5"/>
    <w:rsid w:val="00AF4AD6"/>
    <w:rsid w:val="00AF5269"/>
    <w:rsid w:val="00B01543"/>
    <w:rsid w:val="00B052F8"/>
    <w:rsid w:val="00B23D54"/>
    <w:rsid w:val="00B71042"/>
    <w:rsid w:val="00B90180"/>
    <w:rsid w:val="00B96358"/>
    <w:rsid w:val="00BD0E13"/>
    <w:rsid w:val="00BF1446"/>
    <w:rsid w:val="00BF1757"/>
    <w:rsid w:val="00BF2992"/>
    <w:rsid w:val="00BF2C44"/>
    <w:rsid w:val="00C30C43"/>
    <w:rsid w:val="00C40400"/>
    <w:rsid w:val="00C52425"/>
    <w:rsid w:val="00C54190"/>
    <w:rsid w:val="00C5514B"/>
    <w:rsid w:val="00C67AAA"/>
    <w:rsid w:val="00C858B5"/>
    <w:rsid w:val="00C90037"/>
    <w:rsid w:val="00C902FB"/>
    <w:rsid w:val="00C91508"/>
    <w:rsid w:val="00CA35DA"/>
    <w:rsid w:val="00CB5BF3"/>
    <w:rsid w:val="00CC5532"/>
    <w:rsid w:val="00CF1898"/>
    <w:rsid w:val="00D0235A"/>
    <w:rsid w:val="00D26623"/>
    <w:rsid w:val="00D34E72"/>
    <w:rsid w:val="00D45851"/>
    <w:rsid w:val="00D52BE6"/>
    <w:rsid w:val="00D65280"/>
    <w:rsid w:val="00DA6214"/>
    <w:rsid w:val="00DB0460"/>
    <w:rsid w:val="00DB4EC3"/>
    <w:rsid w:val="00DD23FA"/>
    <w:rsid w:val="00DE70C6"/>
    <w:rsid w:val="00DE7E30"/>
    <w:rsid w:val="00DF1381"/>
    <w:rsid w:val="00E2187D"/>
    <w:rsid w:val="00E254BA"/>
    <w:rsid w:val="00E26E6D"/>
    <w:rsid w:val="00E44B5E"/>
    <w:rsid w:val="00E46956"/>
    <w:rsid w:val="00E501EF"/>
    <w:rsid w:val="00E523D0"/>
    <w:rsid w:val="00E54099"/>
    <w:rsid w:val="00E72738"/>
    <w:rsid w:val="00E73EC5"/>
    <w:rsid w:val="00E81634"/>
    <w:rsid w:val="00E934FD"/>
    <w:rsid w:val="00EC5914"/>
    <w:rsid w:val="00ED2C79"/>
    <w:rsid w:val="00EE5DC9"/>
    <w:rsid w:val="00EF5339"/>
    <w:rsid w:val="00F07CD9"/>
    <w:rsid w:val="00F17D5C"/>
    <w:rsid w:val="00F207B7"/>
    <w:rsid w:val="00F35916"/>
    <w:rsid w:val="00F45ADC"/>
    <w:rsid w:val="00F514A3"/>
    <w:rsid w:val="00F514DA"/>
    <w:rsid w:val="00F60282"/>
    <w:rsid w:val="00F6652F"/>
    <w:rsid w:val="00F67252"/>
    <w:rsid w:val="00F70F22"/>
    <w:rsid w:val="00F779DF"/>
    <w:rsid w:val="00F913C3"/>
    <w:rsid w:val="00FC58B1"/>
    <w:rsid w:val="00FD425C"/>
    <w:rsid w:val="00FD7209"/>
    <w:rsid w:val="00FE3937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44E7"/>
  <w15:chartTrackingRefBased/>
  <w15:docId w15:val="{4E4C2B91-9FE6-1543-9609-9867D1BD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EB"/>
    <w:pPr>
      <w:spacing w:after="120" w:line="228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7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1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.gleason@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Gleason</dc:creator>
  <cp:keywords/>
  <dc:description/>
  <cp:lastModifiedBy>Don Gleason</cp:lastModifiedBy>
  <cp:revision>2</cp:revision>
  <dcterms:created xsi:type="dcterms:W3CDTF">2026-05-28T18:34:00Z</dcterms:created>
  <dcterms:modified xsi:type="dcterms:W3CDTF">2026-05-28T18:34:00Z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42fc122c-e981-493d-824b-a4231aa7a6c8</vt:lpwstr>
  </property>
</Properties>
</file>