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Draft Date: 3/16/2025</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Nature’s Preserve of Twinsburg Homeowner’s Association Inc.</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Collections and Late Fee Policy</w:t>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Date: </w:t>
        <w:tab/>
        <w:t xml:space="preserve">3/17/2025</w:t>
      </w:r>
    </w:p>
    <w:p w:rsidR="00000000" w:rsidDel="00000000" w:rsidP="00000000" w:rsidRDefault="00000000" w:rsidRPr="00000000" w14:paraId="00000006">
      <w:pPr>
        <w:spacing w:after="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Last Revised: </w:t>
        <w:tab/>
        <w:t xml:space="preserve">3/16/2025</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Reason for Policy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establish a </w:t>
      </w:r>
      <w:r w:rsidDel="00000000" w:rsidR="00000000" w:rsidRPr="00000000">
        <w:rPr>
          <w:rFonts w:ascii="Times New Roman" w:cs="Times New Roman" w:eastAsia="Times New Roman" w:hAnsi="Times New Roman"/>
          <w:rtl w:val="0"/>
        </w:rPr>
        <w:t xml:space="preserve">collection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late fee policy</w:t>
      </w:r>
      <w:r w:rsidDel="00000000" w:rsidR="00000000" w:rsidRPr="00000000">
        <w:rPr>
          <w:rFonts w:ascii="Times New Roman" w:cs="Times New Roman" w:eastAsia="Times New Roman" w:hAnsi="Times New Roman"/>
          <w:rtl w:val="0"/>
        </w:rPr>
        <w:t xml:space="preserve"> to create a consistent manner in assessing and collecting fees.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Homeowners need to understand t</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collection p</w:t>
      </w:r>
      <w:r w:rsidDel="00000000" w:rsidR="00000000" w:rsidRPr="00000000">
        <w:rPr>
          <w:rFonts w:ascii="Times New Roman" w:cs="Times New Roman" w:eastAsia="Times New Roman" w:hAnsi="Times New Roman"/>
          <w:rtl w:val="0"/>
        </w:rPr>
        <w:t xml:space="preserve">olicy and the rationale behind charging late fees </w:t>
      </w: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thereby protecting other homeowners from additional charges and allowing the association to stay on budget.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Policy Statement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is intended to set guidelines for the Board to follow regarding the t</w:t>
      </w:r>
      <w:r w:rsidDel="00000000" w:rsidR="00000000" w:rsidRPr="00000000">
        <w:rPr>
          <w:rFonts w:ascii="Times New Roman" w:cs="Times New Roman" w:eastAsia="Times New Roman" w:hAnsi="Times New Roman"/>
          <w:rtl w:val="0"/>
        </w:rPr>
        <w:t xml:space="preserve">iming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amoun</w:t>
      </w:r>
      <w:r w:rsidDel="00000000" w:rsidR="00000000" w:rsidRPr="00000000">
        <w:rPr>
          <w:rFonts w:ascii="Times New Roman" w:cs="Times New Roman" w:eastAsia="Times New Roman" w:hAnsi="Times New Roman"/>
          <w:rtl w:val="0"/>
        </w:rPr>
        <w:t xml:space="preserve">t charged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late fee</w:t>
      </w:r>
      <w:r w:rsidDel="00000000" w:rsidR="00000000" w:rsidRPr="00000000">
        <w:rPr>
          <w:rFonts w:ascii="Times New Roman" w:cs="Times New Roman" w:eastAsia="Times New Roman" w:hAnsi="Times New Roman"/>
          <w:rtl w:val="0"/>
        </w:rPr>
        <w:t xml:space="preserve">s and fines including those related to assessments. This policy also covers guidelines for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collections of these late fees </w:t>
      </w:r>
      <w:r w:rsidDel="00000000" w:rsidR="00000000" w:rsidRPr="00000000">
        <w:rPr>
          <w:rFonts w:ascii="Times New Roman" w:cs="Times New Roman" w:eastAsia="Times New Roman" w:hAnsi="Times New Roman"/>
          <w:rtl w:val="0"/>
        </w:rPr>
        <w:t xml:space="preserve">and delinquent assessments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all NP HOA members.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Scope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scope of this policy covers annual assessments and fines for violations of bylaws, rules &amp; regulations and design guidelines.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will be used for consistent enforcement of all NP HOA members.  This policy will also be used for month to month delinquency of annual dues and non-compliance fines. This policy replaces the previous policy implem</w:t>
      </w:r>
      <w:r w:rsidDel="00000000" w:rsidR="00000000" w:rsidRPr="00000000">
        <w:rPr>
          <w:rFonts w:ascii="Times New Roman" w:cs="Times New Roman" w:eastAsia="Times New Roman" w:hAnsi="Times New Roman"/>
          <w:rtl w:val="0"/>
        </w:rPr>
        <w:t xml:space="preserve">ented in 2021.</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w:t>
      </w:r>
    </w:p>
    <w:tbl>
      <w:tblPr>
        <w:tblStyle w:val="Table1"/>
        <w:tblW w:w="863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6385"/>
        <w:tblGridChange w:id="0">
          <w:tblGrid>
            <w:gridCol w:w="2245"/>
            <w:gridCol w:w="6385"/>
          </w:tblGrid>
        </w:tblGridChange>
      </w:tblGrid>
      <w:tr>
        <w:trPr>
          <w:cantSplit w:val="0"/>
          <w:tblHeader w:val="0"/>
        </w:trPr>
        <w:tc>
          <w:tcPr>
            <w:shd w:fill="5b9bd5"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TERM</w:t>
            </w:r>
          </w:p>
        </w:tc>
        <w:tc>
          <w:tcPr>
            <w:shd w:fill="5b9bd5"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fff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2"/>
                <w:szCs w:val="22"/>
                <w:u w:val="none"/>
                <w:shd w:fill="auto" w:val="clear"/>
                <w:vertAlign w:val="baseline"/>
                <w:rtl w:val="0"/>
              </w:rPr>
              <w:t xml:space="preserve">DEFINITION</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NP HOA</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Natures Preserve Subdivision</w:t>
              </w:r>
            </w:hyperlink>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 Home Owners Association</w:t>
            </w: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Board</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NP HOA Board of Directors</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Procedures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2"/>
        <w:tblW w:w="8635.0" w:type="dxa"/>
        <w:jc w:val="left"/>
        <w:tblInd w:w="6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6385"/>
        <w:tblGridChange w:id="0">
          <w:tblGrid>
            <w:gridCol w:w="2250"/>
            <w:gridCol w:w="6385"/>
          </w:tblGrid>
        </w:tblGridChange>
      </w:tblGrid>
      <w:tr>
        <w:trPr>
          <w:cantSplit w:val="0"/>
          <w:tblHeader w:val="0"/>
        </w:trPr>
        <w:tc>
          <w:tcPr>
            <w:shd w:fill="5b9bd5" w:val="clear"/>
          </w:tcPr>
          <w:p w:rsidR="00000000" w:rsidDel="00000000" w:rsidP="00000000" w:rsidRDefault="00000000" w:rsidRPr="00000000" w14:paraId="0000001E">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TASK</w:t>
            </w:r>
          </w:p>
        </w:tc>
        <w:tc>
          <w:tcPr>
            <w:shd w:fill="5b9bd5" w:val="clear"/>
          </w:tcPr>
          <w:p w:rsidR="00000000" w:rsidDel="00000000" w:rsidP="00000000" w:rsidRDefault="00000000" w:rsidRPr="00000000" w14:paraId="0000001F">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PROCEDURE</w: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w:t>
            </w:r>
            <w:r w:rsidDel="00000000" w:rsidR="00000000" w:rsidRPr="00000000">
              <w:rPr>
                <w:rFonts w:ascii="Times New Roman" w:cs="Times New Roman" w:eastAsia="Times New Roman" w:hAnsi="Times New Roman"/>
                <w:b w:val="1"/>
                <w:rtl w:val="0"/>
              </w:rPr>
              <w:t xml:space="preserve">Assessment </w:t>
            </w: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homeowner will be notified on January 11 that a late charge will be assessed due by the end of the month. </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Other Assessments</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shall be given in accordance with Article V, Section 5.11 of the Declaration. </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Assessment Penalty</w:t>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recurring late charge of $25 will be assessed due by the end of the month. See example 1.1</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Other Assessment Penalties</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recurring late charge of $25 will be assessed due by the end of the month. See example 1.2</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Costs</w:t>
            </w:r>
          </w:p>
        </w:tc>
        <w:tc>
          <w:tcPr/>
          <w:p w:rsidR="00000000" w:rsidDel="00000000" w:rsidP="00000000" w:rsidRDefault="00000000" w:rsidRPr="00000000" w14:paraId="0000002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cost, including attorney fees, recording costs, title reports, and/or court costs incurred by the HOA in the collection of delinquent assessments shall be added to the amount owed by the delinquent owner. Both of these apply to the collection of the general assessment as well as any other enforcement assessment.</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Payments</w:t>
            </w:r>
          </w:p>
        </w:tc>
        <w:tc>
          <w:tcPr/>
          <w:p w:rsidR="00000000" w:rsidDel="00000000" w:rsidP="00000000" w:rsidRDefault="00000000" w:rsidRPr="00000000" w14:paraId="0000002B">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payments made to the HOA shall be applied in the following order:</w:t>
            </w:r>
          </w:p>
          <w:p w:rsidR="00000000" w:rsidDel="00000000" w:rsidP="00000000" w:rsidRDefault="00000000" w:rsidRPr="00000000" w14:paraId="0000002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Interest and/or administrative late fees owed to the Association;</w:t>
            </w:r>
          </w:p>
          <w:p w:rsidR="00000000" w:rsidDel="00000000" w:rsidP="00000000" w:rsidRDefault="00000000" w:rsidRPr="00000000" w14:paraId="0000002D">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Collection costs, attorney’s fees, paralegal fees and court costs incurred by the HOA in connection with the collection; and</w:t>
            </w:r>
          </w:p>
          <w:p w:rsidR="00000000" w:rsidDel="00000000" w:rsidP="00000000" w:rsidRDefault="00000000" w:rsidRPr="00000000" w14:paraId="0000002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Principal amounts owed on the account for common expenses, special assessments or penalty assessments.</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Collections</w:t>
            </w: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homeowner has accrued a balance of $450 or greater the homeowner’s account will be sent to collections to recoup the outstanding balance and any associated legal fees.</w:t>
            </w: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Lien</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Declaration Article 5.</w:t>
            </w:r>
            <w:r w:rsidDel="00000000" w:rsidR="00000000" w:rsidRPr="00000000">
              <w:rPr>
                <w:rFonts w:ascii="Times New Roman" w:cs="Times New Roman" w:eastAsia="Times New Roman" w:hAnsi="Times New Roman"/>
                <w:rtl w:val="0"/>
              </w:rPr>
              <w:t xml:space="preserve">13</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homeowner accrues a balance of $650 the </w:t>
            </w:r>
            <w:r w:rsidDel="00000000" w:rsidR="00000000" w:rsidRPr="00000000">
              <w:rPr>
                <w:rFonts w:ascii="Times New Roman" w:cs="Times New Roman" w:eastAsia="Times New Roman" w:hAnsi="Times New Roman"/>
                <w:rtl w:val="0"/>
              </w:rPr>
              <w:t xml:space="preserve">homeowner</w:t>
            </w:r>
            <w:r w:rsidDel="00000000" w:rsidR="00000000" w:rsidRPr="00000000">
              <w:rPr>
                <w:rFonts w:ascii="Times New Roman" w:cs="Times New Roman" w:eastAsia="Times New Roman" w:hAnsi="Times New Roman"/>
                <w:rtl w:val="0"/>
              </w:rPr>
              <w:t xml:space="preserve"> account will have a lien placed upon the property and will owe additional legal fees.</w:t>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Money Judgement</w:t>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NP HOA via an attorney can solicit authorization to file a Complaint for Money Judgment in Small Claims or Municipal Court. </w:t>
            </w:r>
            <w:r w:rsidDel="00000000" w:rsidR="00000000" w:rsidRPr="00000000">
              <w:rPr>
                <w:rFonts w:ascii="Times New Roman" w:cs="Times New Roman" w:eastAsia="Times New Roman" w:hAnsi="Times New Roman"/>
                <w:rtl w:val="0"/>
              </w:rPr>
              <w:t xml:space="preserve">See Declaration Article 5.13.5</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Foreclosure</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homeowner has accrued an outstanding balance of $1000 the homeowner's property will be foreclosed upon.  </w:t>
            </w:r>
            <w:r w:rsidDel="00000000" w:rsidR="00000000" w:rsidRPr="00000000">
              <w:rPr>
                <w:rFonts w:ascii="Times New Roman" w:cs="Times New Roman" w:eastAsia="Times New Roman" w:hAnsi="Times New Roman"/>
                <w:rtl w:val="0"/>
              </w:rPr>
              <w:t xml:space="preserve">NP HOA will file an Answer to protect the Association’s interest.</w:t>
            </w:r>
            <w:r w:rsidDel="00000000" w:rsidR="00000000" w:rsidRPr="00000000">
              <w:rPr>
                <w:rFonts w:ascii="Times New Roman" w:cs="Times New Roman" w:eastAsia="Times New Roman" w:hAnsi="Times New Roman"/>
                <w:rtl w:val="0"/>
              </w:rPr>
              <w:t xml:space="preserve"> Once in foreclosure, partial payments may not be accepted and NP HOA will file a Motion to Appoint a Receiver to collect the rents and any additional legal fees. See Declaration Article 5.15</w:t>
            </w:r>
          </w:p>
        </w:tc>
      </w:tr>
    </w:tbl>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 1.1: </w:t>
      </w:r>
      <w:r w:rsidDel="00000000" w:rsidR="00000000" w:rsidRPr="00000000">
        <w:rPr>
          <w:rFonts w:ascii="Times New Roman" w:cs="Times New Roman" w:eastAsia="Times New Roman" w:hAnsi="Times New Roman"/>
          <w:b w:val="1"/>
          <w:rtl w:val="0"/>
        </w:rPr>
        <w:t xml:space="preserve">Annual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Assessment</w:t>
      </w:r>
      <w:r w:rsidDel="00000000" w:rsidR="00000000" w:rsidRPr="00000000">
        <w:rPr>
          <w:rFonts w:ascii="Times New Roman" w:cs="Times New Roman" w:eastAsia="Times New Roman" w:hAnsi="Times New Roman"/>
          <w:b w:val="1"/>
          <w:rtl w:val="0"/>
        </w:rPr>
        <w:t xml:space="preserve"> Example</w:t>
      </w:r>
    </w:p>
    <w:tbl>
      <w:tblPr>
        <w:tblStyle w:val="Table3"/>
        <w:tblW w:w="9360.0" w:type="dxa"/>
        <w:jc w:val="left"/>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5b9bd5"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OUTSTANDING BALANCE</w:t>
            </w:r>
          </w:p>
        </w:tc>
        <w:tc>
          <w:tcPr>
            <w:shd w:fill="5b9bd5"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CHARGE</w:t>
            </w:r>
          </w:p>
        </w:tc>
        <w:tc>
          <w:tcPr>
            <w:shd w:fill="5b9bd5"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TOTAL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$350.00 (Jan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 (initial late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$375.00 (Feb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$400.00 (Mar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$425.00</w:t>
            </w:r>
          </w:p>
        </w:tc>
      </w:tr>
    </w:tbl>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 1.2: Violation of Bylaw, Rules &amp; Regulations, Design Guides Example</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tbl>
      <w:tblPr>
        <w:tblStyle w:val="Table4"/>
        <w:tblW w:w="9360.0" w:type="dxa"/>
        <w:jc w:val="left"/>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5b9bd5"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OUTSTANDING BALANCE</w:t>
            </w:r>
          </w:p>
        </w:tc>
        <w:tc>
          <w:tcPr>
            <w:shd w:fill="5b9bd5"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CHARGE</w:t>
            </w:r>
          </w:p>
        </w:tc>
        <w:tc>
          <w:tcPr>
            <w:shd w:fill="5b9bd5"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b w:val="1"/>
                <w:color w:val="ffffff"/>
                <w:shd w:fill="5b9bd5" w:val="clear"/>
              </w:rPr>
            </w:pPr>
            <w:r w:rsidDel="00000000" w:rsidR="00000000" w:rsidRPr="00000000">
              <w:rPr>
                <w:rFonts w:ascii="Times New Roman" w:cs="Times New Roman" w:eastAsia="Times New Roman" w:hAnsi="Times New Roman"/>
                <w:b w:val="1"/>
                <w:color w:val="ffffff"/>
                <w:shd w:fill="5b9bd5" w:val="clear"/>
                <w:rtl w:val="0"/>
              </w:rPr>
              <w:t xml:space="preserve">TOTAL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 (initial fine)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 (30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$50.00 (60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$75.00</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6C77"/>
    <w:pPr>
      <w:ind w:left="720"/>
      <w:contextualSpacing w:val="1"/>
    </w:pPr>
  </w:style>
  <w:style w:type="table" w:styleId="TableGrid">
    <w:name w:val="Table Grid"/>
    <w:basedOn w:val="TableNormal"/>
    <w:uiPriority w:val="39"/>
    <w:rsid w:val="002B64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1447B"/>
    <w:rPr>
      <w:color w:val="0563c1" w:themeColor="hyperlink"/>
      <w:u w:val="single"/>
    </w:rPr>
  </w:style>
  <w:style w:type="character" w:styleId="FollowedHyperlink">
    <w:name w:val="FollowedHyperlink"/>
    <w:basedOn w:val="DefaultParagraphFont"/>
    <w:uiPriority w:val="99"/>
    <w:semiHidden w:val="1"/>
    <w:unhideWhenUsed w:val="1"/>
    <w:rsid w:val="0031447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groups/NaturesPreserve/?multi_permalinks=4138844479526074&amp;comment_id=4139508276126361&amp;notif_id=1628557135610700&amp;notif_t=feedback_reaction_generic&amp;ref=no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xFMn4ECyuhyvWydlqKi/a6V2A==">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2021-09-20T12:34:00Z</dcterms:created>
  <dc:creator>Wilson, David</dc:creator>
</cp:coreProperties>
</file>