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8368" cy="7617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 10@300x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761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/>
          <w:color w:val="A14287"/>
          <w:sz w:val="16"/>
        </w:rPr>
        <w:t>JAYNE’S PRACTICE MANAGEMENT &amp; BILLING CONSULTING SERVICES LLC</w:t>
      </w:r>
    </w:p>
    <w:p>
      <w:pPr>
        <w:jc w:val="center"/>
      </w:pPr>
      <w:r>
        <w:rPr>
          <w:rFonts w:ascii="Aptos" w:hAnsi="Aptos"/>
          <w:b/>
          <w:color w:val="19171D"/>
          <w:sz w:val="38"/>
        </w:rPr>
        <w:t>CLIENT RIGHTS &amp; RESPONSIBILITIES</w:t>
      </w:r>
    </w:p>
    <w:p>
      <w:pPr>
        <w:jc w:val="center"/>
      </w:pPr>
      <w:r>
        <w:rPr>
          <w:rFonts w:ascii="Aptos" w:hAnsi="Aptos"/>
          <w:b w:val="0"/>
          <w:color w:val="66616A"/>
          <w:sz w:val="18"/>
        </w:rPr>
        <w:t>Independent consulting  /  Clear expectations  /  Measurable outcomes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◈  Our service promise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Professional independence, transparent engagements, secure information practices, and measurable performance reporting—without guarantees of specific reimbursement or revenue results.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ptos" w:hAnsi="Aptos"/>
          <w:b/>
          <w:color w:val="A14287"/>
          <w:sz w:val="20"/>
        </w:rPr>
        <w:t>YOUR RIGHTS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▣  Clarity &amp; choice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Receive a written scope, fees, deliverables, timeline, dependencies, reporting cadence, and change-control process.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◇  Independent work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Receive competent, objective findings and disclosure of material conflicts. Final business decisions remain yours.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◈  Confidentiality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Expect appropriate safeguards and access restrictions for business information and PHI, with a BAA when required.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▤  Measurable reporting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Receive agreed KPI definitions, baselines, data sources, reporting periods, and explanations of limitations.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✧  Responsible technology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Ask about material AI-assisted workflows, human review, and sensitive-data handling.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○  Fair treatment &amp; resolution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Receive respectful, nondiscriminatory service and a channel for concerns and escalation.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↗  Deliverables &amp; transition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Receive agreed deliverables and reasonable transition support subject to contract, confidentiality, and law.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200" w:after="100"/>
      </w:pPr>
      <w:r>
        <w:rPr>
          <w:rFonts w:ascii="Aptos" w:hAnsi="Aptos"/>
          <w:b/>
          <w:color w:val="A14287"/>
          <w:sz w:val="20"/>
        </w:rPr>
        <w:t>YOUR RESPONSIBILITIES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◆  Accurate information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Provide complete, authorized records, contacts, decisions, and access on time.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◆  Regulatory ownership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Maintain payer, coding, billing, operational, and legal obligations and approve implementation.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◆  Secure collaboration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Use approved channels for sensitive records; avoid PHI in ordinary intake forms or unsecured email.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◆  Project participation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Name a sponsor and KPI owner, review deliverables, flag changes, and pay agreed fees.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ptos" w:hAnsi="Aptos"/>
          <w:b/>
          <w:color w:val="A14287"/>
          <w:sz w:val="20"/>
        </w:rPr>
        <w:t>PRIVACY, SECURITY &amp; APPLICABLE LAW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◈  Florida + nationwide engagements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HIPAA/HITECH applies where legally relevant. Florida Statutes § 501.171 may apply to covered personal-information incidents. Other state privacy and breach laws may also apply depending on the client, information, and services. The signed agreement and any required BAA control detailed obligations.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ptos" w:hAnsi="Aptos"/>
          <w:b/>
          <w:color w:val="A14287"/>
          <w:sz w:val="20"/>
        </w:rPr>
        <w:t>PERFORMANCE &amp; FAIR EXPECTATIONS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8F3F7"/>
          </w:tcPr>
          <w:p>
            <w:pPr>
              <w:spacing w:after="60"/>
            </w:pPr>
            <w:r>
              <w:rPr>
                <w:rFonts w:ascii="Aptos" w:hAnsi="Aptos"/>
                <w:b/>
                <w:color w:val="A14287"/>
                <w:sz w:val="20"/>
              </w:rPr>
              <w:t>▤  Shared KPI measurement plan</w:t>
            </w:r>
          </w:p>
          <w:p>
            <w:pPr>
              <w:spacing w:after="80"/>
            </w:pPr>
            <w:r>
              <w:rPr>
                <w:rFonts w:ascii="Aptos" w:hAnsi="Aptos"/>
                <w:b w:val="0"/>
                <w:color w:val="19171D"/>
                <w:sz w:val="17"/>
              </w:rPr>
              <w:t>At kickoff, agree on selected metrics (e.g., denials, net days in A/R, collections, coding accuracy), baseline periods, definitions, data owners, target dates, and review cadence. Results depend on data quality, payer behavior, staffing, and client decisions; no particular outcome is guaranteed.</w:t>
            </w:r>
          </w:p>
        </w:tc>
      </w:tr>
    </w:tbl>
    <w:p>
      <w:pPr>
        <w:spacing w:after="0"/>
      </w:pPr>
    </w:p>
    <w:p>
      <w:pPr>
        <w:spacing w:before="200" w:after="100"/>
      </w:pPr>
      <w:r>
        <w:rPr>
          <w:rFonts w:ascii="Aptos" w:hAnsi="Aptos"/>
          <w:b/>
          <w:color w:val="A14287"/>
          <w:sz w:val="20"/>
        </w:rPr>
        <w:t>CONCERNS &amp; ACKNOWLEDGMENT</w:t>
      </w:r>
    </w:p>
    <w:p>
      <w:r>
        <w:rPr>
          <w:rFonts w:ascii="Aptos" w:hAnsi="Aptos"/>
          <w:b w:val="0"/>
          <w:color w:val="19171D"/>
          <w:sz w:val="17"/>
        </w:rPr>
        <w:t>Contact the designated engagement representative with questions or complaints. Concerns will be reviewed in a reasonable manner under the consulting agreement. This acknowledgment does not replace the consulting agreement or BAA.</w:t>
      </w:r>
    </w:p>
    <w:p>
      <w:pPr>
        <w:spacing w:after="60"/>
      </w:pPr>
      <w:r>
        <w:rPr>
          <w:rFonts w:ascii="Aptos" w:hAnsi="Aptos"/>
          <w:b w:val="0"/>
          <w:color w:val="19171D"/>
          <w:sz w:val="17"/>
        </w:rPr>
        <w:t>Client organization: ______________________________________________</w:t>
      </w:r>
    </w:p>
    <w:p>
      <w:pPr>
        <w:spacing w:after="60"/>
      </w:pPr>
      <w:r>
        <w:rPr>
          <w:rFonts w:ascii="Aptos" w:hAnsi="Aptos"/>
          <w:b w:val="0"/>
          <w:color w:val="19171D"/>
          <w:sz w:val="17"/>
        </w:rPr>
        <w:t>Authorized representative / title: ___________________________________</w:t>
      </w:r>
    </w:p>
    <w:p>
      <w:pPr>
        <w:spacing w:after="60"/>
      </w:pPr>
      <w:r>
        <w:rPr>
          <w:rFonts w:ascii="Aptos" w:hAnsi="Aptos"/>
          <w:b w:val="0"/>
          <w:color w:val="19171D"/>
          <w:sz w:val="17"/>
        </w:rPr>
        <w:t>Client signature / date: ____________________________________________</w:t>
      </w:r>
    </w:p>
    <w:p>
      <w:pPr>
        <w:spacing w:after="60"/>
      </w:pPr>
      <w:r>
        <w:rPr>
          <w:rFonts w:ascii="Aptos" w:hAnsi="Aptos"/>
          <w:b w:val="0"/>
          <w:color w:val="19171D"/>
          <w:sz w:val="17"/>
        </w:rPr>
        <w:t>Consultant representative / date: ___________________________________</w:t>
      </w:r>
    </w:p>
    <w:p>
      <w:r>
        <w:rPr>
          <w:rFonts w:ascii="Aptos" w:hAnsi="Aptos"/>
          <w:b w:val="0"/>
          <w:color w:val="66616A"/>
          <w:sz w:val="15"/>
        </w:rPr>
        <w:t>Version 3.0 • October 2026 • Florida legal review recommended before adoption.</w:t>
      </w:r>
    </w:p>
    <w:sectPr w:rsidR="00FC693F" w:rsidRPr="0006063C" w:rsidSect="00034616">
      <w:footerReference w:type="default" r:id="rId10"/>
      <w:pgSz w:w="12240" w:h="15840"/>
      <w:pgMar w:top="835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16A"/>
        <w:sz w:val="14"/>
      </w:rPr>
      <w:t>JAYNESBILLING.COM  •  CONFIDENTIAL BUSINESS DOCUMENT  • 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