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7DFD" w14:textId="55522EC0" w:rsidR="00A460CE" w:rsidRPr="00B322C7" w:rsidRDefault="00A460CE" w:rsidP="00A460CE">
      <w:pPr>
        <w:spacing w:after="0" w:line="240" w:lineRule="auto"/>
        <w:rPr>
          <w:rFonts w:ascii="inter" w:eastAsia="inter" w:hAnsi="inter" w:cs="inter"/>
          <w:b/>
          <w:bCs/>
          <w:color w:val="000000"/>
          <w:szCs w:val="21"/>
          <w:lang w:val="en-GB"/>
        </w:rPr>
      </w:pPr>
      <w:bookmarkStart w:id="0" w:name="low_carbon_market_opportunities_i_a643b1"/>
      <w:r w:rsidRPr="00E8218E">
        <w:rPr>
          <w:rFonts w:ascii="inter" w:hAnsi="inter"/>
          <w:noProof/>
          <w:szCs w:val="21"/>
        </w:rPr>
        <w:drawing>
          <wp:anchor distT="0" distB="0" distL="114300" distR="114300" simplePos="0" relativeHeight="251659264" behindDoc="0" locked="0" layoutInCell="1" allowOverlap="1" wp14:anchorId="048184D4" wp14:editId="2CE3C00A">
            <wp:simplePos x="0" y="0"/>
            <wp:positionH relativeFrom="margin">
              <wp:align>left</wp:align>
            </wp:positionH>
            <wp:positionV relativeFrom="paragraph">
              <wp:posOffset>1905</wp:posOffset>
            </wp:positionV>
            <wp:extent cx="1257935" cy="1257935"/>
            <wp:effectExtent l="0" t="0" r="0" b="0"/>
            <wp:wrapSquare wrapText="bothSides"/>
            <wp:docPr id="705423359" name="Picture 1" descr="A logo with a brain a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23359" name="Picture 1" descr="A logo with a brain and a glob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3489" cy="1283489"/>
                    </a:xfrm>
                    <a:prstGeom prst="rect">
                      <a:avLst/>
                    </a:prstGeom>
                  </pic:spPr>
                </pic:pic>
              </a:graphicData>
            </a:graphic>
            <wp14:sizeRelH relativeFrom="page">
              <wp14:pctWidth>0</wp14:pctWidth>
            </wp14:sizeRelH>
            <wp14:sizeRelV relativeFrom="page">
              <wp14:pctHeight>0</wp14:pctHeight>
            </wp14:sizeRelV>
          </wp:anchor>
        </w:drawing>
      </w:r>
      <w:r w:rsidRPr="00E8218E">
        <w:rPr>
          <w:rFonts w:ascii="inter" w:eastAsia="inter" w:hAnsi="inter" w:cs="inter"/>
          <w:b/>
          <w:bCs/>
          <w:color w:val="000000"/>
          <w:szCs w:val="21"/>
          <w:lang w:val="en-GB"/>
        </w:rPr>
        <w:t>DISCLA</w:t>
      </w:r>
      <w:r w:rsidRPr="00B322C7">
        <w:rPr>
          <w:rFonts w:ascii="inter" w:eastAsia="inter" w:hAnsi="inter" w:cs="inter"/>
          <w:b/>
          <w:bCs/>
          <w:color w:val="000000"/>
          <w:szCs w:val="21"/>
          <w:lang w:val="en-GB"/>
        </w:rPr>
        <w:t>IMER:</w:t>
      </w:r>
      <w:r w:rsidRPr="00B322C7">
        <w:rPr>
          <w:rFonts w:ascii="inter" w:eastAsia="inter" w:hAnsi="inter" w:cs="inter"/>
          <w:color w:val="000000"/>
          <w:szCs w:val="21"/>
          <w:lang w:val="en-GB"/>
        </w:rPr>
        <w:t xml:space="preserve"> This report has been prepared with the help of Perplexity AI (</w:t>
      </w:r>
      <w:hyperlink r:id="rId8" w:history="1">
        <w:r w:rsidRPr="00B322C7">
          <w:rPr>
            <w:rStyle w:val="Hyperlink"/>
            <w:rFonts w:ascii="inter" w:eastAsia="inter" w:hAnsi="inter" w:cs="inter"/>
            <w:szCs w:val="21"/>
            <w:lang w:val="en-GB"/>
          </w:rPr>
          <w:t>www.perplexity.ai</w:t>
        </w:r>
      </w:hyperlink>
      <w:r w:rsidRPr="00B322C7">
        <w:rPr>
          <w:rFonts w:ascii="inter" w:eastAsia="inter" w:hAnsi="inter" w:cs="inter"/>
          <w:color w:val="000000"/>
          <w:szCs w:val="21"/>
          <w:lang w:val="en-GB"/>
        </w:rPr>
        <w:t xml:space="preserve">). Especially for "mission critical" information, you are strongly advised to double check accuracy and authenticity using the extensive list of references provided. The report author cannot be held responsible for any factual errors. You can use the Perplexity AI platform to prepare a customised version of the report specific to the needs of your own business. </w:t>
      </w:r>
    </w:p>
    <w:p w14:paraId="4E1093F0" w14:textId="3C91F458" w:rsidR="00A460CE" w:rsidRDefault="00A460CE" w:rsidP="00A460CE">
      <w:pPr>
        <w:spacing w:before="157" w:after="157" w:line="240" w:lineRule="auto"/>
        <w:rPr>
          <w:rFonts w:ascii="inter" w:hAnsi="inter"/>
          <w:b/>
          <w:bCs/>
          <w:color w:val="0F4761"/>
          <w:szCs w:val="21"/>
        </w:rPr>
      </w:pPr>
      <w:hyperlink r:id="rId9" w:history="1">
        <w:r w:rsidRPr="00B322C7">
          <w:rPr>
            <w:rStyle w:val="Hyperlink"/>
            <w:rFonts w:ascii="inter" w:eastAsia="inter" w:hAnsi="inter" w:cs="inter"/>
            <w:b/>
            <w:bCs/>
            <w:color w:val="0F4761"/>
            <w:szCs w:val="21"/>
            <w:lang w:val="en-GB"/>
          </w:rPr>
          <w:t>Dr Jim Hamill</w:t>
        </w:r>
      </w:hyperlink>
    </w:p>
    <w:p w14:paraId="6EC4BCF0" w14:textId="4A4DA01D" w:rsidR="00A460CE" w:rsidRPr="00A460CE" w:rsidRDefault="00A460CE" w:rsidP="00A460CE">
      <w:pPr>
        <w:spacing w:before="157" w:after="157" w:line="240" w:lineRule="auto"/>
        <w:rPr>
          <w:rFonts w:ascii="inter" w:hAnsi="inter"/>
          <w:color w:val="0F4761"/>
          <w:szCs w:val="21"/>
        </w:rPr>
      </w:pPr>
      <w:r w:rsidRPr="00A460CE">
        <w:rPr>
          <w:rFonts w:ascii="inter" w:hAnsi="inter"/>
          <w:color w:val="0F4761"/>
          <w:szCs w:val="21"/>
        </w:rPr>
        <w:t>--------------------------------------------------------------------------------------------------------------------------------------</w:t>
      </w:r>
    </w:p>
    <w:p w14:paraId="3CF13164" w14:textId="4121DD77" w:rsidR="00A460CE" w:rsidRPr="00923F04" w:rsidRDefault="00A460CE" w:rsidP="00A460CE">
      <w:pPr>
        <w:pStyle w:val="Heading1"/>
        <w:spacing w:before="120" w:after="120" w:line="240" w:lineRule="auto"/>
        <w:jc w:val="center"/>
        <w:rPr>
          <w:rFonts w:eastAsia="inter"/>
          <w:b/>
          <w:bCs/>
        </w:rPr>
      </w:pPr>
      <w:bookmarkStart w:id="1" w:name="_Hlk214303195"/>
      <w:bookmarkEnd w:id="0"/>
      <w:r w:rsidRPr="00923F04">
        <w:rPr>
          <w:rFonts w:eastAsia="inter"/>
          <w:b/>
          <w:bCs/>
        </w:rPr>
        <w:t xml:space="preserve">LOW CARBON MARKET OPPORTUNITIES IN </w:t>
      </w:r>
      <w:r>
        <w:rPr>
          <w:rFonts w:eastAsia="inter"/>
          <w:b/>
          <w:bCs/>
        </w:rPr>
        <w:t>VIETNAM</w:t>
      </w:r>
    </w:p>
    <w:p w14:paraId="0C009EFA" w14:textId="77777777" w:rsidR="00A460CE" w:rsidRPr="00923F04" w:rsidRDefault="00A460CE" w:rsidP="00A460CE">
      <w:pPr>
        <w:pStyle w:val="Heading1"/>
        <w:spacing w:before="120" w:after="120" w:line="240" w:lineRule="auto"/>
        <w:jc w:val="center"/>
        <w:rPr>
          <w:rFonts w:eastAsia="inter"/>
          <w:b/>
          <w:bCs/>
          <w:sz w:val="28"/>
          <w:szCs w:val="28"/>
        </w:rPr>
      </w:pPr>
      <w:bookmarkStart w:id="2" w:name="_Hlk214303173"/>
      <w:bookmarkEnd w:id="1"/>
      <w:r w:rsidRPr="00923F04">
        <w:rPr>
          <w:rFonts w:eastAsia="inter"/>
          <w:b/>
          <w:bCs/>
          <w:sz w:val="28"/>
          <w:szCs w:val="28"/>
        </w:rPr>
        <w:t>A Strategic Report for the North East Scotland Energy Supply Chain</w:t>
      </w:r>
    </w:p>
    <w:bookmarkEnd w:id="2"/>
    <w:p w14:paraId="67213F75" w14:textId="77777777" w:rsidR="00CB47B0" w:rsidRDefault="00000000">
      <w:pPr>
        <w:spacing w:after="210" w:line="360" w:lineRule="auto"/>
      </w:pPr>
      <w:r>
        <w:rPr>
          <w:rFonts w:ascii="inter" w:eastAsia="inter" w:hAnsi="inter" w:cs="inter"/>
          <w:color w:val="000000"/>
        </w:rPr>
        <w:t>This comprehensive report examines the offshore low-carbon energy market opportunities in Vietnam for small and medium-sized enterprise (SME) energy supply chain companies based in North East Scotland. Vietnam's ambitious energy transition presents significant opportunities across offshore wind, carbon capture utilization and storage (CCUS), green hydrogen, solar, marine energy, hydropower, clean fuels, and decommissioning sectors.</w:t>
      </w:r>
    </w:p>
    <w:p w14:paraId="018C55E8" w14:textId="77777777" w:rsidR="00CB47B0" w:rsidRDefault="00000000">
      <w:pPr>
        <w:spacing w:after="210" w:line="360" w:lineRule="auto"/>
      </w:pPr>
      <w:r>
        <w:rPr>
          <w:rFonts w:ascii="inter" w:eastAsia="inter" w:hAnsi="inter" w:cs="inter"/>
          <w:color w:val="000000"/>
        </w:rPr>
        <w:t>Vietnam stands at a critical juncture in its energy transformation, with Power Development Plan 8 (PDP8) setting ambitious targets to diversify away from coal and fossil fuels toward renewable energy sources. The country aims to reach 6 gigawatts (GW) of offshore wind by 2030, expanding to 70-91 GW by 2050, alongside substantial investments in green hydrogen, CCUS, and solar energy. This transition, supported by international partnerships including the Just Energy Transition Partnership (JETP) and substantial foreign direct investment interest, creates a unique window of opportunity for North East Scotland companies to leverage their decades of oil and gas expertise in emerging renewable energy markets.</w:t>
      </w:r>
      <w:bookmarkStart w:id="3" w:name="fnref1"/>
      <w:bookmarkEnd w:id="3"/>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4" w:name="fnref2"/>
      <w:bookmarkEnd w:id="4"/>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5" w:name="fnref3"/>
      <w:bookmarkEnd w:id="5"/>
      <w:r>
        <w:fldChar w:fldCharType="begin"/>
      </w:r>
      <w:r>
        <w:instrText>HYPERLINK \l "fn3" \h</w:instrText>
      </w:r>
      <w:r>
        <w:fldChar w:fldCharType="separate"/>
      </w:r>
      <w:r>
        <w:rPr>
          <w:rFonts w:ascii="inter" w:eastAsia="inter" w:hAnsi="inter" w:cs="inter"/>
          <w:u w:val="single"/>
          <w:vertAlign w:val="superscript"/>
        </w:rPr>
        <w:t>[3]</w:t>
      </w:r>
      <w:r>
        <w:fldChar w:fldCharType="end"/>
      </w:r>
    </w:p>
    <w:p w14:paraId="7FC8560E" w14:textId="77777777" w:rsidR="00CB47B0" w:rsidRDefault="00000000" w:rsidP="00A460CE">
      <w:pPr>
        <w:pStyle w:val="Heading1"/>
      </w:pPr>
      <w:bookmarkStart w:id="6" w:name="the_energy_transition_context_in_vietnam"/>
      <w:r>
        <w:rPr>
          <w:rFonts w:eastAsia="inter"/>
        </w:rPr>
        <w:t>The Energy Transition Context in Vietnam</w:t>
      </w:r>
      <w:bookmarkEnd w:id="6"/>
    </w:p>
    <w:p w14:paraId="439A60CE" w14:textId="77777777" w:rsidR="00CB47B0" w:rsidRDefault="00000000">
      <w:pPr>
        <w:spacing w:before="315" w:after="105" w:line="360" w:lineRule="auto"/>
        <w:ind w:left="-30"/>
      </w:pPr>
      <w:bookmarkStart w:id="7" w:name="political_and_economic_landscape"/>
      <w:r>
        <w:rPr>
          <w:rFonts w:ascii="inter" w:eastAsia="inter" w:hAnsi="inter" w:cs="inter"/>
          <w:b/>
          <w:color w:val="000000"/>
          <w:sz w:val="24"/>
        </w:rPr>
        <w:t>Political and Economic Landscape</w:t>
      </w:r>
      <w:bookmarkEnd w:id="7"/>
    </w:p>
    <w:p w14:paraId="14809EAC" w14:textId="77777777" w:rsidR="00CB47B0" w:rsidRDefault="00000000">
      <w:pPr>
        <w:spacing w:after="210" w:line="360" w:lineRule="auto"/>
      </w:pPr>
      <w:r>
        <w:rPr>
          <w:rFonts w:ascii="inter" w:eastAsia="inter" w:hAnsi="inter" w:cs="inter"/>
          <w:color w:val="000000"/>
        </w:rPr>
        <w:t>Vietnam's energy transition is driven by a confluence of political commitments, economic imperatives, and international partnerships that collectively shape the low-carbon energy landscape. The government's adoption of a net-zero emissions target by 2050 and the implementation of PDP8 represent landmark policy decisions that fundamentally reorient the nation's energy strategy. The revised PDP8, updated in May 2025, strengthens coal phase-out commitments while scaling up solar and offshore wind capacity, setting long-term renewable capacity targets of 65-70% by 2050.</w:t>
      </w:r>
      <w:bookmarkStart w:id="8" w:name="fnref2_1"/>
      <w:bookmarkEnd w:id="8"/>
      <w:r>
        <w:fldChar w:fldCharType="begin"/>
      </w:r>
      <w:r>
        <w:instrText>HYPERLINK \l "fn2" \h</w:instrText>
      </w:r>
      <w:r>
        <w:fldChar w:fldCharType="separate"/>
      </w:r>
      <w:r>
        <w:rPr>
          <w:rFonts w:ascii="inter" w:eastAsia="inter" w:hAnsi="inter" w:cs="inter"/>
          <w:u w:val="single"/>
          <w:vertAlign w:val="superscript"/>
        </w:rPr>
        <w:t>[2]</w:t>
      </w:r>
      <w:r>
        <w:fldChar w:fldCharType="end"/>
      </w:r>
    </w:p>
    <w:p w14:paraId="2553EC2D" w14:textId="77777777" w:rsidR="00CB47B0" w:rsidRDefault="00000000">
      <w:pPr>
        <w:spacing w:after="210" w:line="360" w:lineRule="auto"/>
      </w:pPr>
      <w:r>
        <w:rPr>
          <w:rFonts w:ascii="inter" w:eastAsia="inter" w:hAnsi="inter" w:cs="inter"/>
          <w:color w:val="000000"/>
        </w:rPr>
        <w:t xml:space="preserve">The political framework supporting this transition includes the groundbreaking Electricity Law of 2024, which became effective in February 2025, replacing the outdated 2004 framework with comprehensive </w:t>
      </w:r>
      <w:r>
        <w:rPr>
          <w:rFonts w:ascii="inter" w:eastAsia="inter" w:hAnsi="inter" w:cs="inter"/>
          <w:color w:val="000000"/>
        </w:rPr>
        <w:lastRenderedPageBreak/>
        <w:t>reforms covering planning, licensing, pricing, market competition, and grid operations. This legislative modernization creates clearer frameworks for renewable energy development and market competition, though its success depends heavily on timely implementation of supporting regulations, particularly for renewable incentives, project approval mechanisms, and pricing structures.</w:t>
      </w:r>
      <w:bookmarkStart w:id="9" w:name="fnref2_2"/>
      <w:bookmarkEnd w:id="9"/>
      <w:r>
        <w:fldChar w:fldCharType="begin"/>
      </w:r>
      <w:r>
        <w:instrText>HYPERLINK \l "fn2" \h</w:instrText>
      </w:r>
      <w:r>
        <w:fldChar w:fldCharType="separate"/>
      </w:r>
      <w:r>
        <w:rPr>
          <w:rFonts w:ascii="inter" w:eastAsia="inter" w:hAnsi="inter" w:cs="inter"/>
          <w:u w:val="single"/>
          <w:vertAlign w:val="superscript"/>
        </w:rPr>
        <w:t>[2]</w:t>
      </w:r>
      <w:r>
        <w:fldChar w:fldCharType="end"/>
      </w:r>
    </w:p>
    <w:p w14:paraId="1F983CF6" w14:textId="77777777" w:rsidR="00CB47B0" w:rsidRDefault="00000000">
      <w:pPr>
        <w:spacing w:after="210" w:line="360" w:lineRule="auto"/>
      </w:pPr>
      <w:r>
        <w:rPr>
          <w:rFonts w:ascii="inter" w:eastAsia="inter" w:hAnsi="inter" w:cs="inter"/>
          <w:color w:val="000000"/>
        </w:rPr>
        <w:t>Vietnam's economic growth trajectory provides both the impetus and challenge for energy transformation. With average annual GDP growth of 7% projected until 2030 and 6.5-7.5% between 2031-2050, electricity demand is expanding rapidly, growing approximately 10% annually through 2030—among the fastest rates in Asia. This surging demand, coupled with the country's industrialization and the influx of foreign direct investment that has more than tripled electricity consumption since 2010, necessitates massive expansion of power generation capacity.</w:t>
      </w:r>
      <w:bookmarkStart w:id="10" w:name="fnref4"/>
      <w:bookmarkEnd w:id="10"/>
      <w:r>
        <w:fldChar w:fldCharType="begin"/>
      </w:r>
      <w:r>
        <w:instrText>HYPERLINK \l "fn4" \h</w:instrText>
      </w:r>
      <w:r>
        <w:fldChar w:fldCharType="separate"/>
      </w:r>
      <w:r>
        <w:rPr>
          <w:rFonts w:ascii="inter" w:eastAsia="inter" w:hAnsi="inter" w:cs="inter"/>
          <w:u w:val="single"/>
          <w:vertAlign w:val="superscript"/>
        </w:rPr>
        <w:t>[4]</w:t>
      </w:r>
      <w:r>
        <w:fldChar w:fldCharType="end"/>
      </w:r>
      <w:bookmarkStart w:id="11" w:name="fnref5"/>
      <w:bookmarkEnd w:id="11"/>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12" w:name="fnref1_1"/>
      <w:bookmarkEnd w:id="12"/>
      <w:r>
        <w:fldChar w:fldCharType="begin"/>
      </w:r>
      <w:r>
        <w:instrText>HYPERLINK \l "fn1" \h</w:instrText>
      </w:r>
      <w:r>
        <w:fldChar w:fldCharType="separate"/>
      </w:r>
      <w:r>
        <w:rPr>
          <w:rFonts w:ascii="inter" w:eastAsia="inter" w:hAnsi="inter" w:cs="inter"/>
          <w:u w:val="single"/>
          <w:vertAlign w:val="superscript"/>
        </w:rPr>
        <w:t>[1]</w:t>
      </w:r>
      <w:r>
        <w:fldChar w:fldCharType="end"/>
      </w:r>
    </w:p>
    <w:p w14:paraId="2E676F34" w14:textId="77777777" w:rsidR="00CB47B0" w:rsidRDefault="00000000">
      <w:pPr>
        <w:spacing w:after="210" w:line="360" w:lineRule="auto"/>
      </w:pPr>
      <w:r>
        <w:rPr>
          <w:rFonts w:ascii="inter" w:eastAsia="inter" w:hAnsi="inter" w:cs="inter"/>
          <w:color w:val="000000"/>
        </w:rPr>
        <w:t>The Made-in-Vietnam Energy Plan 4.0 (MVEP 4.0), launched in June 2025, serves as a comprehensive research-driven blueprint charting Vietnam's pathway to a competitive, reliable, and low-emission energy system. This strategic roadmap addresses critical regulatory bottlenecks and institutional capacity gaps while proposing concrete steps to align near-term actions with long-term energy and economic goals. The plan was developed through collaboration between the National Economics University, the Vietnam Business Forum's Power and Energy Working Group, and the Global Energy Alliance for People and Planet (GEAPP), demonstrating the multi-stakeholder approach to Vietnam's energy future.</w:t>
      </w:r>
      <w:bookmarkStart w:id="13" w:name="fnref6"/>
      <w:bookmarkEnd w:id="13"/>
      <w:r>
        <w:fldChar w:fldCharType="begin"/>
      </w:r>
      <w:r>
        <w:instrText>HYPERLINK \l "fn6" \h</w:instrText>
      </w:r>
      <w:r>
        <w:fldChar w:fldCharType="separate"/>
      </w:r>
      <w:r>
        <w:rPr>
          <w:rFonts w:ascii="inter" w:eastAsia="inter" w:hAnsi="inter" w:cs="inter"/>
          <w:u w:val="single"/>
          <w:vertAlign w:val="superscript"/>
        </w:rPr>
        <w:t>[6]</w:t>
      </w:r>
      <w:r>
        <w:fldChar w:fldCharType="end"/>
      </w:r>
    </w:p>
    <w:p w14:paraId="5121DC74" w14:textId="77777777" w:rsidR="00CB47B0" w:rsidRDefault="00000000">
      <w:pPr>
        <w:spacing w:after="210" w:line="360" w:lineRule="auto"/>
      </w:pPr>
      <w:r>
        <w:rPr>
          <w:rFonts w:ascii="inter" w:eastAsia="inter" w:hAnsi="inter" w:cs="inter"/>
          <w:color w:val="000000"/>
        </w:rPr>
        <w:t>International partnerships play a pivotal role in Vietnam's energy transition. The JETP with Vietnam aims to reduce emissions from coal-fired power plants by limiting peak capacity to 30.2 GW by 2030, down from the 37 GW previously planned, ensuring coal accounts for only 20% of the power mix compared to the current 33%. This partnership has increased Vietnam's renewable energy target to 47% of energy generation by 2030, up from the previously planned 36%. The JETP provides initial financing of $15.5 billion, creating a foundation for attracting additional private investment into the renewable energy sector.</w:t>
      </w:r>
      <w:bookmarkStart w:id="14" w:name="fnref7"/>
      <w:bookmarkEnd w:id="14"/>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15" w:name="fnref3_1"/>
      <w:bookmarkEnd w:id="15"/>
      <w:r>
        <w:fldChar w:fldCharType="begin"/>
      </w:r>
      <w:r>
        <w:instrText>HYPERLINK \l "fn3" \h</w:instrText>
      </w:r>
      <w:r>
        <w:fldChar w:fldCharType="separate"/>
      </w:r>
      <w:r>
        <w:rPr>
          <w:rFonts w:ascii="inter" w:eastAsia="inter" w:hAnsi="inter" w:cs="inter"/>
          <w:u w:val="single"/>
          <w:vertAlign w:val="superscript"/>
        </w:rPr>
        <w:t>[3]</w:t>
      </w:r>
      <w:r>
        <w:fldChar w:fldCharType="end"/>
      </w:r>
    </w:p>
    <w:p w14:paraId="1B1341AF" w14:textId="77777777" w:rsidR="00CB47B0" w:rsidRDefault="00000000">
      <w:pPr>
        <w:spacing w:before="315" w:after="105" w:line="360" w:lineRule="auto"/>
        <w:ind w:left="-30"/>
      </w:pPr>
      <w:bookmarkStart w:id="16" w:name="regulatory_framework_and_market_m_aad692"/>
      <w:r>
        <w:rPr>
          <w:rFonts w:ascii="inter" w:eastAsia="inter" w:hAnsi="inter" w:cs="inter"/>
          <w:b/>
          <w:color w:val="000000"/>
          <w:sz w:val="24"/>
        </w:rPr>
        <w:t>Regulatory Framework and Market Mechanisms</w:t>
      </w:r>
      <w:bookmarkEnd w:id="16"/>
    </w:p>
    <w:p w14:paraId="4CCB8D7F" w14:textId="77777777" w:rsidR="00CB47B0" w:rsidRDefault="00000000">
      <w:pPr>
        <w:spacing w:after="210" w:line="360" w:lineRule="auto"/>
      </w:pPr>
      <w:r>
        <w:rPr>
          <w:rFonts w:ascii="inter" w:eastAsia="inter" w:hAnsi="inter" w:cs="inter"/>
          <w:color w:val="000000"/>
        </w:rPr>
        <w:t>Vietnam's regulatory environment for low-carbon energy is undergoing rapid evolution, creating both opportunities and uncertainties for international investors and developers. The country has transitioned from feed-in tariff (</w:t>
      </w:r>
      <w:proofErr w:type="spellStart"/>
      <w:r>
        <w:rPr>
          <w:rFonts w:ascii="inter" w:eastAsia="inter" w:hAnsi="inter" w:cs="inter"/>
          <w:color w:val="000000"/>
        </w:rPr>
        <w:t>FiT</w:t>
      </w:r>
      <w:proofErr w:type="spellEnd"/>
      <w:r>
        <w:rPr>
          <w:rFonts w:ascii="inter" w:eastAsia="inter" w:hAnsi="inter" w:cs="inter"/>
          <w:color w:val="000000"/>
        </w:rPr>
        <w:t xml:space="preserve">) mechanisms that drove rapid solar and wind deployment in 2019-2020 to more market-based approaches including competitive auctions and direct power purchase agreements (DPPAs). This transition reflects the government's recognition that while </w:t>
      </w:r>
      <w:proofErr w:type="spellStart"/>
      <w:r>
        <w:rPr>
          <w:rFonts w:ascii="inter" w:eastAsia="inter" w:hAnsi="inter" w:cs="inter"/>
          <w:color w:val="000000"/>
        </w:rPr>
        <w:t>FiTs</w:t>
      </w:r>
      <w:proofErr w:type="spellEnd"/>
      <w:r>
        <w:rPr>
          <w:rFonts w:ascii="inter" w:eastAsia="inter" w:hAnsi="inter" w:cs="inter"/>
          <w:color w:val="000000"/>
        </w:rPr>
        <w:t xml:space="preserve"> successfully jumpstarted renewable deployment—catapulting Vietnam's solar capacity from just 86 megawatts (MW) in 2018 to over 16 GW by 2025—they also created fiscal pressures and questions about long-term sustainability.</w:t>
      </w:r>
      <w:bookmarkStart w:id="17" w:name="fnref8"/>
      <w:bookmarkEnd w:id="17"/>
      <w:r>
        <w:fldChar w:fldCharType="begin"/>
      </w:r>
      <w:r>
        <w:instrText>HYPERLINK \l "fn8" \h</w:instrText>
      </w:r>
      <w:r>
        <w:fldChar w:fldCharType="separate"/>
      </w:r>
      <w:r>
        <w:rPr>
          <w:rFonts w:ascii="inter" w:eastAsia="inter" w:hAnsi="inter" w:cs="inter"/>
          <w:u w:val="single"/>
          <w:vertAlign w:val="superscript"/>
        </w:rPr>
        <w:t>[8]</w:t>
      </w:r>
      <w:r>
        <w:fldChar w:fldCharType="end"/>
      </w:r>
      <w:bookmarkStart w:id="18" w:name="fnref9"/>
      <w:bookmarkEnd w:id="18"/>
      <w:r>
        <w:fldChar w:fldCharType="begin"/>
      </w:r>
      <w:r>
        <w:instrText>HYPERLINK \l "fn9" \h</w:instrText>
      </w:r>
      <w:r>
        <w:fldChar w:fldCharType="separate"/>
      </w:r>
      <w:r>
        <w:rPr>
          <w:rFonts w:ascii="inter" w:eastAsia="inter" w:hAnsi="inter" w:cs="inter"/>
          <w:u w:val="single"/>
          <w:vertAlign w:val="superscript"/>
        </w:rPr>
        <w:t>[9]</w:t>
      </w:r>
      <w:r>
        <w:fldChar w:fldCharType="end"/>
      </w:r>
      <w:bookmarkStart w:id="19" w:name="fnref4_1"/>
      <w:bookmarkEnd w:id="19"/>
      <w:r>
        <w:fldChar w:fldCharType="begin"/>
      </w:r>
      <w:r>
        <w:instrText>HYPERLINK \l "fn4" \h</w:instrText>
      </w:r>
      <w:r>
        <w:fldChar w:fldCharType="separate"/>
      </w:r>
      <w:r>
        <w:rPr>
          <w:rFonts w:ascii="inter" w:eastAsia="inter" w:hAnsi="inter" w:cs="inter"/>
          <w:u w:val="single"/>
          <w:vertAlign w:val="superscript"/>
        </w:rPr>
        <w:t>[4]</w:t>
      </w:r>
      <w:r>
        <w:fldChar w:fldCharType="end"/>
      </w:r>
    </w:p>
    <w:p w14:paraId="38002072" w14:textId="77777777" w:rsidR="00CB47B0" w:rsidRDefault="00000000">
      <w:pPr>
        <w:spacing w:after="210" w:line="360" w:lineRule="auto"/>
      </w:pPr>
      <w:r>
        <w:rPr>
          <w:rFonts w:ascii="inter" w:eastAsia="inter" w:hAnsi="inter" w:cs="inter"/>
          <w:color w:val="000000"/>
        </w:rPr>
        <w:t>The introduction of Decree 57/2025/ND-CP in September 2025 represents a significant regulatory reform, establishing capped tariffs, new DPPA models, and rooftop solar limits while integrating wholesale market mechanisms. This decree provides flexible eligibility criteria based on Vietnam Wholesale Electricity Market (VWEM) regulations rather than fixed consumption thresholds, expands eligible energy sources to include biomass plants of at least 10 MW alongside solar and wind, and introduces ceiling prices for private grid transactions while allowing parties flexibility to negotiate within these limits. However, implementation challenges remain, particularly regarding pricing frameworks for private grid connections, settlement costs for grid-connected transactions, and certification procedures for rooftop solar projects.</w:t>
      </w:r>
      <w:bookmarkStart w:id="20" w:name="fnref9_1"/>
      <w:bookmarkEnd w:id="20"/>
      <w:r>
        <w:fldChar w:fldCharType="begin"/>
      </w:r>
      <w:r>
        <w:instrText>HYPERLINK \l "fn9" \h</w:instrText>
      </w:r>
      <w:r>
        <w:fldChar w:fldCharType="separate"/>
      </w:r>
      <w:r>
        <w:rPr>
          <w:rFonts w:ascii="inter" w:eastAsia="inter" w:hAnsi="inter" w:cs="inter"/>
          <w:u w:val="single"/>
          <w:vertAlign w:val="superscript"/>
        </w:rPr>
        <w:t>[9]</w:t>
      </w:r>
      <w:r>
        <w:fldChar w:fldCharType="end"/>
      </w:r>
    </w:p>
    <w:p w14:paraId="77E9910C" w14:textId="77777777" w:rsidR="00CB47B0" w:rsidRDefault="00000000">
      <w:pPr>
        <w:spacing w:after="210" w:line="360" w:lineRule="auto"/>
      </w:pPr>
      <w:r>
        <w:rPr>
          <w:rFonts w:ascii="inter" w:eastAsia="inter" w:hAnsi="inter" w:cs="inter"/>
          <w:color w:val="000000"/>
        </w:rPr>
        <w:t>For offshore wind specifically, Vietnam's regulatory framework remains in development, creating both uncertainty and opportunity. The Global Wind Energy Council (GWEC) report on Vietnam's offshore wind development recommends a two-stage competitive model featuring exclusive survey rights that allow offshore wind investors to freely define site boundaries within larger areas outlined in Vietnam's national marine spatial plan. The proposed framework includes a pre-award planning process led by government to identify the first 8 GW of offshore wind development blocks for private sector-led projects, in addition to 2 GW allocated for state-owned enterprise (SOE)-led projects. This structured approach aims to create a diverse and competitive pipeline while providing clarity for investors.</w:t>
      </w:r>
      <w:bookmarkStart w:id="21" w:name="fnref10"/>
      <w:bookmarkEnd w:id="21"/>
      <w:r>
        <w:fldChar w:fldCharType="begin"/>
      </w:r>
      <w:r>
        <w:instrText>HYPERLINK \l "fn10" \h</w:instrText>
      </w:r>
      <w:r>
        <w:fldChar w:fldCharType="separate"/>
      </w:r>
      <w:r>
        <w:rPr>
          <w:rFonts w:ascii="inter" w:eastAsia="inter" w:hAnsi="inter" w:cs="inter"/>
          <w:u w:val="single"/>
          <w:vertAlign w:val="superscript"/>
        </w:rPr>
        <w:t>[10]</w:t>
      </w:r>
      <w:r>
        <w:fldChar w:fldCharType="end"/>
      </w:r>
      <w:bookmarkStart w:id="22" w:name="fnref11"/>
      <w:bookmarkEnd w:id="22"/>
      <w:r>
        <w:fldChar w:fldCharType="begin"/>
      </w:r>
      <w:r>
        <w:instrText>HYPERLINK \l "fn11" \h</w:instrText>
      </w:r>
      <w:r>
        <w:fldChar w:fldCharType="separate"/>
      </w:r>
      <w:r>
        <w:rPr>
          <w:rFonts w:ascii="inter" w:eastAsia="inter" w:hAnsi="inter" w:cs="inter"/>
          <w:u w:val="single"/>
          <w:vertAlign w:val="superscript"/>
        </w:rPr>
        <w:t>[11]</w:t>
      </w:r>
      <w:r>
        <w:fldChar w:fldCharType="end"/>
      </w:r>
    </w:p>
    <w:p w14:paraId="566E7F2E" w14:textId="77777777" w:rsidR="00CB47B0" w:rsidRDefault="00000000">
      <w:pPr>
        <w:spacing w:before="315" w:after="105" w:line="360" w:lineRule="auto"/>
        <w:ind w:left="-30"/>
      </w:pPr>
      <w:bookmarkStart w:id="23" w:name="energy_security_and_climate_commitments"/>
      <w:r>
        <w:rPr>
          <w:rFonts w:ascii="inter" w:eastAsia="inter" w:hAnsi="inter" w:cs="inter"/>
          <w:b/>
          <w:color w:val="000000"/>
          <w:sz w:val="24"/>
        </w:rPr>
        <w:t>Energy Security and Climate Commitments</w:t>
      </w:r>
      <w:bookmarkEnd w:id="23"/>
    </w:p>
    <w:p w14:paraId="6811F16F" w14:textId="77777777" w:rsidR="00CB47B0" w:rsidRDefault="00000000">
      <w:pPr>
        <w:spacing w:after="210" w:line="360" w:lineRule="auto"/>
      </w:pPr>
      <w:r>
        <w:rPr>
          <w:rFonts w:ascii="inter" w:eastAsia="inter" w:hAnsi="inter" w:cs="inter"/>
          <w:color w:val="000000"/>
        </w:rPr>
        <w:t>Vietnam's energy transition is fundamentally shaped by the dual imperatives of energy security and climate action. The country's historical reliance on coal and imported fossil fuels creates vulnerabilities that renewable energy development aims to address. Approximately 45% of Vietnam's current energy supply comes from coal-fired power plants, making the transition to renewables critical for both environmental and energy security reasons. The government's commitment to phase out coal capacity through the 2030s, while simultaneously scaling up renewable sources, reflects this dual priority.</w:t>
      </w:r>
      <w:bookmarkStart w:id="24" w:name="fnref12"/>
      <w:bookmarkEnd w:id="24"/>
      <w:r>
        <w:fldChar w:fldCharType="begin"/>
      </w:r>
      <w:r>
        <w:instrText>HYPERLINK \l "fn12" \h</w:instrText>
      </w:r>
      <w:r>
        <w:fldChar w:fldCharType="separate"/>
      </w:r>
      <w:r>
        <w:rPr>
          <w:rFonts w:ascii="inter" w:eastAsia="inter" w:hAnsi="inter" w:cs="inter"/>
          <w:u w:val="single"/>
          <w:vertAlign w:val="superscript"/>
        </w:rPr>
        <w:t>[12]</w:t>
      </w:r>
      <w:r>
        <w:fldChar w:fldCharType="end"/>
      </w:r>
      <w:bookmarkStart w:id="25" w:name="fnref2_3"/>
      <w:bookmarkEnd w:id="25"/>
      <w:r>
        <w:fldChar w:fldCharType="begin"/>
      </w:r>
      <w:r>
        <w:instrText>HYPERLINK \l "fn2" \h</w:instrText>
      </w:r>
      <w:r>
        <w:fldChar w:fldCharType="separate"/>
      </w:r>
      <w:r>
        <w:rPr>
          <w:rFonts w:ascii="inter" w:eastAsia="inter" w:hAnsi="inter" w:cs="inter"/>
          <w:u w:val="single"/>
          <w:vertAlign w:val="superscript"/>
        </w:rPr>
        <w:t>[2]</w:t>
      </w:r>
      <w:r>
        <w:fldChar w:fldCharType="end"/>
      </w:r>
    </w:p>
    <w:p w14:paraId="1368147B" w14:textId="77777777" w:rsidR="00CB47B0" w:rsidRDefault="00000000">
      <w:pPr>
        <w:spacing w:after="210" w:line="360" w:lineRule="auto"/>
      </w:pPr>
      <w:r>
        <w:rPr>
          <w:rFonts w:ascii="inter" w:eastAsia="inter" w:hAnsi="inter" w:cs="inter"/>
          <w:color w:val="000000"/>
        </w:rPr>
        <w:t>Climate commitments provide additional momentum for the transition. Vietnam's nationally determined contributions (NDCs) under the Paris Agreement and its net-zero by 2050 pledge create binding frameworks for decarbonization. These commitments align with growing pressure from international corporations operating in Vietnam, many of which have joined the RE100 initiative committing to 100% renewable energy for their operations. Companies like Apple, which aims for suppliers to become 100% renewable-powered by 2030, Nike, targeting 100% renewable energy for operations by 2025, and Samsung, seeking direct power purchase agreements with renewable producers, are driving demand for clean energy in Vietnam's industrial sector.</w:t>
      </w:r>
      <w:bookmarkStart w:id="26" w:name="fnref5_1"/>
      <w:bookmarkEnd w:id="26"/>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27" w:name="fnref13"/>
      <w:bookmarkEnd w:id="27"/>
      <w:r>
        <w:fldChar w:fldCharType="begin"/>
      </w:r>
      <w:r>
        <w:instrText>HYPERLINK \l "fn13" \h</w:instrText>
      </w:r>
      <w:r>
        <w:fldChar w:fldCharType="separate"/>
      </w:r>
      <w:r>
        <w:rPr>
          <w:rFonts w:ascii="inter" w:eastAsia="inter" w:hAnsi="inter" w:cs="inter"/>
          <w:u w:val="single"/>
          <w:vertAlign w:val="superscript"/>
        </w:rPr>
        <w:t>[13]</w:t>
      </w:r>
      <w:r>
        <w:fldChar w:fldCharType="end"/>
      </w:r>
      <w:bookmarkStart w:id="28" w:name="fnref14"/>
      <w:bookmarkEnd w:id="28"/>
      <w:r>
        <w:fldChar w:fldCharType="begin"/>
      </w:r>
      <w:r>
        <w:instrText>HYPERLINK \l "fn14" \h</w:instrText>
      </w:r>
      <w:r>
        <w:fldChar w:fldCharType="separate"/>
      </w:r>
      <w:r>
        <w:rPr>
          <w:rFonts w:ascii="inter" w:eastAsia="inter" w:hAnsi="inter" w:cs="inter"/>
          <w:u w:val="single"/>
          <w:vertAlign w:val="superscript"/>
        </w:rPr>
        <w:t>[14]</w:t>
      </w:r>
      <w:r>
        <w:fldChar w:fldCharType="end"/>
      </w:r>
    </w:p>
    <w:p w14:paraId="1AE66E67" w14:textId="77777777" w:rsidR="00CB47B0" w:rsidRDefault="00000000">
      <w:pPr>
        <w:spacing w:after="210" w:line="360" w:lineRule="auto"/>
      </w:pPr>
      <w:r>
        <w:rPr>
          <w:rFonts w:ascii="inter" w:eastAsia="inter" w:hAnsi="inter" w:cs="inter"/>
          <w:color w:val="000000"/>
        </w:rPr>
        <w:t xml:space="preserve">The energy security dimension extends beyond simple supply concerns to encompass economic competitiveness. Vietnam's ability to provide reliable, cost-effective renewable energy increasingly determines its attractiveness for foreign investment, particularly from manufacturers seeking to meet corporate sustainability goals. According to McKinsey analysis, a renewables-led pathway could unlock substantial opportunities for Vietnam, including 10% savings in overall power costs, reduction of 1.1 </w:t>
      </w:r>
      <w:proofErr w:type="spellStart"/>
      <w:r>
        <w:rPr>
          <w:rFonts w:ascii="inter" w:eastAsia="inter" w:hAnsi="inter" w:cs="inter"/>
          <w:color w:val="000000"/>
        </w:rPr>
        <w:t>gigatonnes</w:t>
      </w:r>
      <w:proofErr w:type="spellEnd"/>
      <w:r>
        <w:rPr>
          <w:rFonts w:ascii="inter" w:eastAsia="inter" w:hAnsi="inter" w:cs="inter"/>
          <w:color w:val="000000"/>
        </w:rPr>
        <w:t xml:space="preserve"> of greenhouse gas emissions, and 60% decrease in energy imports by 2030. These economic benefits reinforce the strategic imperative of the energy transition beyond purely environmental considerations.</w:t>
      </w:r>
      <w:bookmarkStart w:id="29" w:name="fnref13_1"/>
      <w:bookmarkEnd w:id="29"/>
      <w:r>
        <w:fldChar w:fldCharType="begin"/>
      </w:r>
      <w:r>
        <w:instrText>HYPERLINK \l "fn13" \h</w:instrText>
      </w:r>
      <w:r>
        <w:fldChar w:fldCharType="separate"/>
      </w:r>
      <w:r>
        <w:rPr>
          <w:rFonts w:ascii="inter" w:eastAsia="inter" w:hAnsi="inter" w:cs="inter"/>
          <w:u w:val="single"/>
          <w:vertAlign w:val="superscript"/>
        </w:rPr>
        <w:t>[13]</w:t>
      </w:r>
      <w:r>
        <w:fldChar w:fldCharType="end"/>
      </w:r>
      <w:bookmarkStart w:id="30" w:name="fnref3_2"/>
      <w:bookmarkEnd w:id="30"/>
      <w:r>
        <w:fldChar w:fldCharType="begin"/>
      </w:r>
      <w:r>
        <w:instrText>HYPERLINK \l "fn3" \h</w:instrText>
      </w:r>
      <w:r>
        <w:fldChar w:fldCharType="separate"/>
      </w:r>
      <w:r>
        <w:rPr>
          <w:rFonts w:ascii="inter" w:eastAsia="inter" w:hAnsi="inter" w:cs="inter"/>
          <w:u w:val="single"/>
          <w:vertAlign w:val="superscript"/>
        </w:rPr>
        <w:t>[3]</w:t>
      </w:r>
      <w:r>
        <w:fldChar w:fldCharType="end"/>
      </w:r>
    </w:p>
    <w:p w14:paraId="15263658" w14:textId="77777777" w:rsidR="00CB47B0" w:rsidRDefault="00000000" w:rsidP="00A460CE">
      <w:pPr>
        <w:pStyle w:val="Heading1"/>
      </w:pPr>
      <w:bookmarkStart w:id="31" w:name="supply_chain_gap_analysis"/>
      <w:r>
        <w:rPr>
          <w:rFonts w:eastAsia="inter"/>
        </w:rPr>
        <w:t>Supply Chain Gap Analysis</w:t>
      </w:r>
      <w:bookmarkEnd w:id="31"/>
    </w:p>
    <w:p w14:paraId="75FF8809" w14:textId="77777777" w:rsidR="00CB47B0" w:rsidRDefault="00000000">
      <w:pPr>
        <w:spacing w:before="315" w:after="105" w:line="360" w:lineRule="auto"/>
        <w:ind w:left="-30"/>
      </w:pPr>
      <w:bookmarkStart w:id="32" w:name="critical_infrastructure_gaps"/>
      <w:r>
        <w:rPr>
          <w:rFonts w:ascii="inter" w:eastAsia="inter" w:hAnsi="inter" w:cs="inter"/>
          <w:b/>
          <w:color w:val="000000"/>
          <w:sz w:val="24"/>
        </w:rPr>
        <w:t>Critical Infrastructure Gaps</w:t>
      </w:r>
      <w:bookmarkEnd w:id="32"/>
    </w:p>
    <w:p w14:paraId="6712B8B4" w14:textId="77777777" w:rsidR="00CB47B0" w:rsidRDefault="00000000">
      <w:pPr>
        <w:spacing w:after="210" w:line="360" w:lineRule="auto"/>
      </w:pPr>
      <w:r>
        <w:rPr>
          <w:rFonts w:ascii="inter" w:eastAsia="inter" w:hAnsi="inter" w:cs="inter"/>
          <w:color w:val="000000"/>
        </w:rPr>
        <w:t>Vietnam's low-carbon energy supply chain exhibits significant gaps that create substantial opportunities for international suppliers, particularly those from established energy hubs like North East Scotland. The most critical infrastructure deficiency lies in grid transmission capacity, which has emerged as the primary bottleneck constraining renewable energy deployment. The existing grid infrastructure cannot adequately handle large volumes of renewable energy, with approximately 95% of solar deployment concentrated in Southern provinces with ample solar irradiation but limited electricity demand and grid capacity, while the Northern region experiences rapid demand growth surpassing power capacity growth.</w:t>
      </w:r>
      <w:bookmarkStart w:id="33" w:name="fnref15"/>
      <w:bookmarkEnd w:id="33"/>
      <w:r>
        <w:fldChar w:fldCharType="begin"/>
      </w:r>
      <w:r>
        <w:instrText>HYPERLINK \l "fn15" \h</w:instrText>
      </w:r>
      <w:r>
        <w:fldChar w:fldCharType="separate"/>
      </w:r>
      <w:r>
        <w:rPr>
          <w:rFonts w:ascii="inter" w:eastAsia="inter" w:hAnsi="inter" w:cs="inter"/>
          <w:u w:val="single"/>
          <w:vertAlign w:val="superscript"/>
        </w:rPr>
        <w:t>[15]</w:t>
      </w:r>
      <w:r>
        <w:fldChar w:fldCharType="end"/>
      </w:r>
      <w:bookmarkStart w:id="34" w:name="fnref16"/>
      <w:bookmarkEnd w:id="34"/>
      <w:r>
        <w:fldChar w:fldCharType="begin"/>
      </w:r>
      <w:r>
        <w:instrText>HYPERLINK \l "fn16" \h</w:instrText>
      </w:r>
      <w:r>
        <w:fldChar w:fldCharType="separate"/>
      </w:r>
      <w:r>
        <w:rPr>
          <w:rFonts w:ascii="inter" w:eastAsia="inter" w:hAnsi="inter" w:cs="inter"/>
          <w:u w:val="single"/>
          <w:vertAlign w:val="superscript"/>
        </w:rPr>
        <w:t>[16]</w:t>
      </w:r>
      <w:r>
        <w:fldChar w:fldCharType="end"/>
      </w:r>
      <w:bookmarkStart w:id="35" w:name="fnref14_1"/>
      <w:bookmarkEnd w:id="35"/>
      <w:r>
        <w:fldChar w:fldCharType="begin"/>
      </w:r>
      <w:r>
        <w:instrText>HYPERLINK \l "fn14" \h</w:instrText>
      </w:r>
      <w:r>
        <w:fldChar w:fldCharType="separate"/>
      </w:r>
      <w:r>
        <w:rPr>
          <w:rFonts w:ascii="inter" w:eastAsia="inter" w:hAnsi="inter" w:cs="inter"/>
          <w:u w:val="single"/>
          <w:vertAlign w:val="superscript"/>
        </w:rPr>
        <w:t>[14]</w:t>
      </w:r>
      <w:r>
        <w:fldChar w:fldCharType="end"/>
      </w:r>
    </w:p>
    <w:p w14:paraId="5444BFE9" w14:textId="77777777" w:rsidR="00CB47B0" w:rsidRDefault="00000000">
      <w:pPr>
        <w:spacing w:after="210" w:line="360" w:lineRule="auto"/>
      </w:pPr>
      <w:r>
        <w:rPr>
          <w:rFonts w:ascii="inter" w:eastAsia="inter" w:hAnsi="inter" w:cs="inter"/>
          <w:color w:val="000000"/>
        </w:rPr>
        <w:t>Grid congestion issues have effectively halted deployment of utility-scale solar projects for two years, posing significant challenges of curtailment and economic losses to existing solar projects. The mismatch between renewable energy generation timelines—utility-scale solar plants and rooftop installations requiring approximately nine months to develop—and grid upgrade timelines averaging three years creates substantial bottlenecks. The Vietnamese government has committed approximately $33 billion in grid investments by 2030 to construct new transmission lines, upgrade power stations, and implement smart grid technologies, though private sector engagement is actively encouraged to accelerate improvements.</w:t>
      </w:r>
      <w:bookmarkStart w:id="36" w:name="fnref14_2"/>
      <w:bookmarkEnd w:id="36"/>
      <w:r>
        <w:fldChar w:fldCharType="begin"/>
      </w:r>
      <w:r>
        <w:instrText>HYPERLINK \l "fn14" \h</w:instrText>
      </w:r>
      <w:r>
        <w:fldChar w:fldCharType="separate"/>
      </w:r>
      <w:r>
        <w:rPr>
          <w:rFonts w:ascii="inter" w:eastAsia="inter" w:hAnsi="inter" w:cs="inter"/>
          <w:u w:val="single"/>
          <w:vertAlign w:val="superscript"/>
        </w:rPr>
        <w:t>[14]</w:t>
      </w:r>
      <w:r>
        <w:fldChar w:fldCharType="end"/>
      </w:r>
      <w:bookmarkStart w:id="37" w:name="fnref4_2"/>
      <w:bookmarkEnd w:id="37"/>
      <w:r>
        <w:fldChar w:fldCharType="begin"/>
      </w:r>
      <w:r>
        <w:instrText>HYPERLINK \l "fn4" \h</w:instrText>
      </w:r>
      <w:r>
        <w:fldChar w:fldCharType="separate"/>
      </w:r>
      <w:r>
        <w:rPr>
          <w:rFonts w:ascii="inter" w:eastAsia="inter" w:hAnsi="inter" w:cs="inter"/>
          <w:u w:val="single"/>
          <w:vertAlign w:val="superscript"/>
        </w:rPr>
        <w:t>[4]</w:t>
      </w:r>
      <w:r>
        <w:fldChar w:fldCharType="end"/>
      </w:r>
    </w:p>
    <w:p w14:paraId="6C832469" w14:textId="77777777" w:rsidR="00CB47B0" w:rsidRDefault="00000000">
      <w:pPr>
        <w:spacing w:after="210" w:line="360" w:lineRule="auto"/>
      </w:pPr>
      <w:r>
        <w:rPr>
          <w:rFonts w:ascii="inter" w:eastAsia="inter" w:hAnsi="inter" w:cs="inter"/>
          <w:color w:val="000000"/>
        </w:rPr>
        <w:t>Energy storage represents another critical gap in Vietnam's renewable energy infrastructure. The country currently lacks commercial-scale battery energy storage systems, with the first significant storage facility not expected to be commissioned until 2028. This absence of adequate storage capacity, combined with restricted grid capacity, imposes severe constraints on renewable energy uptake and system flexibility. Without energy storage solutions, Vietnam cannot effectively manage the variability inherent in solar and wind generation, limiting the penetration of these resources into the energy mix.</w:t>
      </w:r>
      <w:bookmarkStart w:id="38" w:name="fnref14_3"/>
      <w:bookmarkEnd w:id="38"/>
      <w:r>
        <w:fldChar w:fldCharType="begin"/>
      </w:r>
      <w:r>
        <w:instrText>HYPERLINK \l "fn14" \h</w:instrText>
      </w:r>
      <w:r>
        <w:fldChar w:fldCharType="separate"/>
      </w:r>
      <w:r>
        <w:rPr>
          <w:rFonts w:ascii="inter" w:eastAsia="inter" w:hAnsi="inter" w:cs="inter"/>
          <w:u w:val="single"/>
          <w:vertAlign w:val="superscript"/>
        </w:rPr>
        <w:t>[14]</w:t>
      </w:r>
      <w:r>
        <w:fldChar w:fldCharType="end"/>
      </w:r>
    </w:p>
    <w:p w14:paraId="7E18B705" w14:textId="77777777" w:rsidR="00CB47B0" w:rsidRDefault="00000000">
      <w:pPr>
        <w:spacing w:after="210" w:line="360" w:lineRule="auto"/>
      </w:pPr>
      <w:r>
        <w:rPr>
          <w:rFonts w:ascii="inter" w:eastAsia="inter" w:hAnsi="inter" w:cs="inter"/>
          <w:color w:val="000000"/>
        </w:rPr>
        <w:t>Port infrastructure constitutes a third major bottleneck for offshore wind development. While Vietnam possesses suitable port facilities, particularly in the Vung Tau cluster where the oil and gas sector has established infrastructure, significant upgrades are required to support large-scale offshore wind projects. Ports in northern regions, including the Hai Phong cluster, currently demonstrate low capabilities in supporting the offshore wind industry, requiring higher investments and longer development timelines. Height constraints at numerous prominent Northern shipyards significantly limit transportation of foundations, though these facilities' geographical proximity to electrical component manufacturers makes them ideal for future development of smaller complex components such as wind turbine generator (WTG) assembly lines or offshore substation (OSS) components.</w:t>
      </w:r>
      <w:bookmarkStart w:id="39" w:name="fnref17"/>
      <w:bookmarkEnd w:id="39"/>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40" w:name="fnref18"/>
      <w:bookmarkEnd w:id="40"/>
      <w:r>
        <w:fldChar w:fldCharType="begin"/>
      </w:r>
      <w:r>
        <w:instrText>HYPERLINK \l "fn18" \h</w:instrText>
      </w:r>
      <w:r>
        <w:fldChar w:fldCharType="separate"/>
      </w:r>
      <w:r>
        <w:rPr>
          <w:rFonts w:ascii="inter" w:eastAsia="inter" w:hAnsi="inter" w:cs="inter"/>
          <w:u w:val="single"/>
          <w:vertAlign w:val="superscript"/>
        </w:rPr>
        <w:t>[18]</w:t>
      </w:r>
      <w:r>
        <w:fldChar w:fldCharType="end"/>
      </w:r>
    </w:p>
    <w:p w14:paraId="153223CB" w14:textId="77777777" w:rsidR="00CB47B0" w:rsidRDefault="00000000">
      <w:pPr>
        <w:spacing w:before="315" w:after="105" w:line="360" w:lineRule="auto"/>
        <w:ind w:left="-30"/>
      </w:pPr>
      <w:bookmarkStart w:id="41" w:name="manufacturing_and_technology_defi_5502c7"/>
      <w:r>
        <w:rPr>
          <w:rFonts w:ascii="inter" w:eastAsia="inter" w:hAnsi="inter" w:cs="inter"/>
          <w:b/>
          <w:color w:val="000000"/>
          <w:sz w:val="24"/>
        </w:rPr>
        <w:t>Manufacturing and Technology Deficiencies</w:t>
      </w:r>
      <w:bookmarkEnd w:id="41"/>
    </w:p>
    <w:p w14:paraId="3F93E8A8" w14:textId="77777777" w:rsidR="00CB47B0" w:rsidRDefault="00000000">
      <w:pPr>
        <w:spacing w:after="210" w:line="360" w:lineRule="auto"/>
      </w:pPr>
      <w:r>
        <w:rPr>
          <w:rFonts w:ascii="inter" w:eastAsia="inter" w:hAnsi="inter" w:cs="inter"/>
          <w:color w:val="000000"/>
        </w:rPr>
        <w:t>Vietnam's offshore wind manufacturing capability reveals a mixed picture of existing strengths and critical gaps. The country possesses moderate capabilities in foundation and tower manufacturing, with companies like Petrovietnam Technical Services Corporation (PTSC) and several shipyards demonstrating capacity to produce fixed-bottom offshore wind foundations. PTSC is pioneering in the offshore wind industry, using its Vung Tau oil and gas yard to build offshore substations, foundations, and towers. However, as domestic and regional demand increases, existing infrastructure will struggle to support delivery of key components, particularly WTG blades and nacelles.</w:t>
      </w:r>
      <w:bookmarkStart w:id="42" w:name="fnref18_1"/>
      <w:bookmarkEnd w:id="42"/>
      <w:r>
        <w:fldChar w:fldCharType="begin"/>
      </w:r>
      <w:r>
        <w:instrText>HYPERLINK \l "fn18" \h</w:instrText>
      </w:r>
      <w:r>
        <w:fldChar w:fldCharType="separate"/>
      </w:r>
      <w:r>
        <w:rPr>
          <w:rFonts w:ascii="inter" w:eastAsia="inter" w:hAnsi="inter" w:cs="inter"/>
          <w:u w:val="single"/>
          <w:vertAlign w:val="superscript"/>
        </w:rPr>
        <w:t>[18]</w:t>
      </w:r>
      <w:r>
        <w:fldChar w:fldCharType="end"/>
      </w:r>
      <w:bookmarkStart w:id="43" w:name="fnref19"/>
      <w:bookmarkEnd w:id="43"/>
      <w:r>
        <w:fldChar w:fldCharType="begin"/>
      </w:r>
      <w:r>
        <w:instrText>HYPERLINK \l "fn19" \h</w:instrText>
      </w:r>
      <w:r>
        <w:fldChar w:fldCharType="separate"/>
      </w:r>
      <w:r>
        <w:rPr>
          <w:rFonts w:ascii="inter" w:eastAsia="inter" w:hAnsi="inter" w:cs="inter"/>
          <w:u w:val="single"/>
          <w:vertAlign w:val="superscript"/>
        </w:rPr>
        <w:t>[19]</w:t>
      </w:r>
      <w:r>
        <w:fldChar w:fldCharType="end"/>
      </w:r>
      <w:bookmarkStart w:id="44" w:name="fnref17_1"/>
      <w:bookmarkEnd w:id="44"/>
      <w:r>
        <w:fldChar w:fldCharType="begin"/>
      </w:r>
      <w:r>
        <w:instrText>HYPERLINK \l "fn17" \h</w:instrText>
      </w:r>
      <w:r>
        <w:fldChar w:fldCharType="separate"/>
      </w:r>
      <w:r>
        <w:rPr>
          <w:rFonts w:ascii="inter" w:eastAsia="inter" w:hAnsi="inter" w:cs="inter"/>
          <w:u w:val="single"/>
          <w:vertAlign w:val="superscript"/>
        </w:rPr>
        <w:t>[17]</w:t>
      </w:r>
      <w:r>
        <w:fldChar w:fldCharType="end"/>
      </w:r>
    </w:p>
    <w:p w14:paraId="28513A91" w14:textId="77777777" w:rsidR="00CB47B0" w:rsidRDefault="00000000">
      <w:pPr>
        <w:spacing w:after="210" w:line="360" w:lineRule="auto"/>
      </w:pPr>
      <w:r>
        <w:rPr>
          <w:rFonts w:ascii="inter" w:eastAsia="inter" w:hAnsi="inter" w:cs="inter"/>
          <w:color w:val="000000"/>
        </w:rPr>
        <w:t>The critical gap in wind turbine manufacturing represents Vietnam's most significant supply chain deficiency. No major wind turbine original equipment manufacturers (OEMs) have established manufacturing facilities in Vietnam, and the country currently lacks any capacity to produce nacelles and blades domestically. This absence is primarily linked to the inactivity of WTG OEMs who have yet to confirm plans to establish manufacturing facilities, with suppliers acknowledging that investment decisions are highly linked to development of Vietnam's offshore wind market supported by a consistent project pipeline. Establishing such facilities could require up to three years and investments estimated between $1-3 billion.</w:t>
      </w:r>
      <w:bookmarkStart w:id="45" w:name="fnref17_2"/>
      <w:bookmarkEnd w:id="45"/>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46" w:name="fnref18_2"/>
      <w:bookmarkEnd w:id="46"/>
      <w:r>
        <w:fldChar w:fldCharType="begin"/>
      </w:r>
      <w:r>
        <w:instrText>HYPERLINK \l "fn18" \h</w:instrText>
      </w:r>
      <w:r>
        <w:fldChar w:fldCharType="separate"/>
      </w:r>
      <w:r>
        <w:rPr>
          <w:rFonts w:ascii="inter" w:eastAsia="inter" w:hAnsi="inter" w:cs="inter"/>
          <w:u w:val="single"/>
          <w:vertAlign w:val="superscript"/>
        </w:rPr>
        <w:t>[18]</w:t>
      </w:r>
      <w:r>
        <w:fldChar w:fldCharType="end"/>
      </w:r>
    </w:p>
    <w:p w14:paraId="4F4095BB" w14:textId="77777777" w:rsidR="00CB47B0" w:rsidRDefault="00000000">
      <w:pPr>
        <w:spacing w:after="210" w:line="360" w:lineRule="auto"/>
      </w:pPr>
      <w:r>
        <w:rPr>
          <w:rFonts w:ascii="inter" w:eastAsia="inter" w:hAnsi="inter" w:cs="inter"/>
          <w:color w:val="000000"/>
        </w:rPr>
        <w:t>For subsea cables and electrical systems, Vietnam has limited but developing capacity. LS Vina Cables &amp; System JSC, GE Vietnam Limited, and ABB Automation and Electrification Vietnam Company Limited provide some electrical components and cabling manufacturing capability. However, this capacity remains insufficient for the scale of offshore wind development envisioned in PDP8, particularly for large-scale projects requiring extensive subsea cable networks connecting offshore installations to onshore substations.</w:t>
      </w:r>
      <w:bookmarkStart w:id="47" w:name="fnref18_3"/>
      <w:bookmarkEnd w:id="47"/>
      <w:r>
        <w:fldChar w:fldCharType="begin"/>
      </w:r>
      <w:r>
        <w:instrText>HYPERLINK \l "fn18" \h</w:instrText>
      </w:r>
      <w:r>
        <w:fldChar w:fldCharType="separate"/>
      </w:r>
      <w:r>
        <w:rPr>
          <w:rFonts w:ascii="inter" w:eastAsia="inter" w:hAnsi="inter" w:cs="inter"/>
          <w:u w:val="single"/>
          <w:vertAlign w:val="superscript"/>
        </w:rPr>
        <w:t>[18]</w:t>
      </w:r>
      <w:r>
        <w:fldChar w:fldCharType="end"/>
      </w:r>
    </w:p>
    <w:p w14:paraId="7BBD0497" w14:textId="77777777" w:rsidR="00CB47B0" w:rsidRDefault="00000000">
      <w:pPr>
        <w:spacing w:after="210" w:line="360" w:lineRule="auto"/>
      </w:pPr>
      <w:r>
        <w:rPr>
          <w:rFonts w:ascii="inter" w:eastAsia="inter" w:hAnsi="inter" w:cs="inter"/>
          <w:color w:val="000000"/>
        </w:rPr>
        <w:t>Installation vessel capacity represents perhaps the most acute shortage in Vietnam's offshore wind supply chain. The country has minimal specialized vessels for offshore wind installation, with no domestic jack-up vessels or heavy-lift installation vessels suitable for large-scale offshore wind projects. This deficiency forces developers to rely entirely on international vessel contractors, significantly increasing project costs and creating scheduling dependencies on regional vessel availability. The development of domestic installation vessel capability or partnerships with international vessel operators represents a critical opportunity for supply chain development.</w:t>
      </w:r>
      <w:bookmarkStart w:id="48" w:name="fnref20"/>
      <w:bookmarkEnd w:id="48"/>
      <w:r>
        <w:fldChar w:fldCharType="begin"/>
      </w:r>
      <w:r>
        <w:instrText>HYPERLINK \l "fn20" \h</w:instrText>
      </w:r>
      <w:r>
        <w:fldChar w:fldCharType="separate"/>
      </w:r>
      <w:r>
        <w:rPr>
          <w:rFonts w:ascii="inter" w:eastAsia="inter" w:hAnsi="inter" w:cs="inter"/>
          <w:u w:val="single"/>
          <w:vertAlign w:val="superscript"/>
        </w:rPr>
        <w:t>[20]</w:t>
      </w:r>
      <w:r>
        <w:fldChar w:fldCharType="end"/>
      </w:r>
      <w:bookmarkStart w:id="49" w:name="fnref17_3"/>
      <w:bookmarkEnd w:id="49"/>
      <w:r>
        <w:fldChar w:fldCharType="begin"/>
      </w:r>
      <w:r>
        <w:instrText>HYPERLINK \l "fn17" \h</w:instrText>
      </w:r>
      <w:r>
        <w:fldChar w:fldCharType="separate"/>
      </w:r>
      <w:r>
        <w:rPr>
          <w:rFonts w:ascii="inter" w:eastAsia="inter" w:hAnsi="inter" w:cs="inter"/>
          <w:u w:val="single"/>
          <w:vertAlign w:val="superscript"/>
        </w:rPr>
        <w:t>[17]</w:t>
      </w:r>
      <w:r>
        <w:fldChar w:fldCharType="end"/>
      </w:r>
    </w:p>
    <w:p w14:paraId="1D661702" w14:textId="77777777" w:rsidR="00CB47B0" w:rsidRDefault="00000000">
      <w:pPr>
        <w:spacing w:before="315" w:after="105" w:line="360" w:lineRule="auto"/>
        <w:ind w:left="-30"/>
      </w:pPr>
      <w:bookmarkStart w:id="50" w:name="services_and_expertise_gaps"/>
      <w:r>
        <w:rPr>
          <w:rFonts w:ascii="inter" w:eastAsia="inter" w:hAnsi="inter" w:cs="inter"/>
          <w:b/>
          <w:color w:val="000000"/>
          <w:sz w:val="24"/>
        </w:rPr>
        <w:t>Services and Expertise Gaps</w:t>
      </w:r>
      <w:bookmarkEnd w:id="50"/>
    </w:p>
    <w:p w14:paraId="708D6ED5" w14:textId="77777777" w:rsidR="00CB47B0" w:rsidRDefault="00000000">
      <w:pPr>
        <w:spacing w:after="210" w:line="360" w:lineRule="auto"/>
      </w:pPr>
      <w:r>
        <w:rPr>
          <w:rFonts w:ascii="inter" w:eastAsia="inter" w:hAnsi="inter" w:cs="inter"/>
          <w:color w:val="000000"/>
        </w:rPr>
        <w:t>Engineering and project management services exhibit moderate capability built on Vietnam's oil and gas sector experience, yet significant gaps remain for offshore wind-specific expertise. While Vietnamese engineering firms possess strong capabilities in conventional energy project development, the unique technical requirements of large-scale offshore wind farms—including integrated load assessment, management of large capacity electrical cables, and offshore wind-specific design parameters—require capability building and international partnerships. PTSC's strategic partnerships with leading international offshore wind investors, developers, and technical services providers such as Furgo and Semco Maritime exemplify the approach Vietnamese companies are taking to augment their proficiency in offshore wind engineering.</w:t>
      </w:r>
      <w:bookmarkStart w:id="51" w:name="fnref18_4"/>
      <w:bookmarkEnd w:id="51"/>
      <w:r>
        <w:fldChar w:fldCharType="begin"/>
      </w:r>
      <w:r>
        <w:instrText>HYPERLINK \l "fn18" \h</w:instrText>
      </w:r>
      <w:r>
        <w:fldChar w:fldCharType="separate"/>
      </w:r>
      <w:r>
        <w:rPr>
          <w:rFonts w:ascii="inter" w:eastAsia="inter" w:hAnsi="inter" w:cs="inter"/>
          <w:u w:val="single"/>
          <w:vertAlign w:val="superscript"/>
        </w:rPr>
        <w:t>[18]</w:t>
      </w:r>
      <w:r>
        <w:fldChar w:fldCharType="end"/>
      </w:r>
    </w:p>
    <w:p w14:paraId="7CE1C9AD" w14:textId="77777777" w:rsidR="00CB47B0" w:rsidRDefault="00000000">
      <w:pPr>
        <w:spacing w:after="210" w:line="360" w:lineRule="auto"/>
      </w:pPr>
      <w:r>
        <w:rPr>
          <w:rFonts w:ascii="inter" w:eastAsia="inter" w:hAnsi="inter" w:cs="inter"/>
          <w:color w:val="000000"/>
        </w:rPr>
        <w:t>Operations and maintenance (O&amp;M) services represent an area where Vietnam possesses transferable skills from the oil and gas sector but requires adaptation for renewable energy applications. The country's extensive experience in offshore oil and gas operations provides a foundation for developing offshore wind O&amp;M capabilities, including vessel operations, offshore logistics, personnel safety protocols, and remote operations management. However, specialized training in wind turbine maintenance, electrical systems specific to offshore wind, and predictive maintenance technologies remains necessary to fully capitalize on this transferable expertise.</w:t>
      </w:r>
      <w:bookmarkStart w:id="52" w:name="fnref21"/>
      <w:bookmarkEnd w:id="52"/>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53" w:name="fnref22"/>
      <w:bookmarkEnd w:id="53"/>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7D02EC0D" w14:textId="77777777" w:rsidR="00CB47B0" w:rsidRDefault="00000000">
      <w:pPr>
        <w:spacing w:after="210" w:line="360" w:lineRule="auto"/>
      </w:pPr>
      <w:r>
        <w:rPr>
          <w:rFonts w:ascii="inter" w:eastAsia="inter" w:hAnsi="inter" w:cs="inter"/>
          <w:color w:val="000000"/>
        </w:rPr>
        <w:t>For CCUS technology and deployment, Vietnam remains in early stages with very limited commercial experience. The Black &amp; Veatch feasibility studies at three coal-fired power plants—Vung Ang 1, Song Hau 1, and Thai Binh 2—represent the country's first carbon capture assessments, with findings intended to shape the national CCUS roadmap and legal framework. Vietnam's National Energy Masterplan for 2021-2030 encourages CCUS technology adoption to achieve carbon capture capacity of one million metric tons per year by 2040 and three to six million metric tons per year by 2050, but achieving these targets requires substantial technology transfer and capability development.</w:t>
      </w:r>
      <w:bookmarkStart w:id="54" w:name="fnref23"/>
      <w:bookmarkEnd w:id="54"/>
      <w:r>
        <w:fldChar w:fldCharType="begin"/>
      </w:r>
      <w:r>
        <w:instrText>HYPERLINK \l "fn23" \h</w:instrText>
      </w:r>
      <w:r>
        <w:fldChar w:fldCharType="separate"/>
      </w:r>
      <w:r>
        <w:rPr>
          <w:rFonts w:ascii="inter" w:eastAsia="inter" w:hAnsi="inter" w:cs="inter"/>
          <w:u w:val="single"/>
          <w:vertAlign w:val="superscript"/>
        </w:rPr>
        <w:t>[23]</w:t>
      </w:r>
      <w:r>
        <w:fldChar w:fldCharType="end"/>
      </w:r>
      <w:bookmarkStart w:id="55" w:name="fnref24"/>
      <w:bookmarkEnd w:id="55"/>
      <w:r>
        <w:fldChar w:fldCharType="begin"/>
      </w:r>
      <w:r>
        <w:instrText>HYPERLINK \l "fn24" \h</w:instrText>
      </w:r>
      <w:r>
        <w:fldChar w:fldCharType="separate"/>
      </w:r>
      <w:r>
        <w:rPr>
          <w:rFonts w:ascii="inter" w:eastAsia="inter" w:hAnsi="inter" w:cs="inter"/>
          <w:u w:val="single"/>
          <w:vertAlign w:val="superscript"/>
        </w:rPr>
        <w:t>[24]</w:t>
      </w:r>
      <w:r>
        <w:fldChar w:fldCharType="end"/>
      </w:r>
    </w:p>
    <w:p w14:paraId="7426B8D0" w14:textId="77777777" w:rsidR="00CB47B0" w:rsidRDefault="00000000">
      <w:pPr>
        <w:spacing w:after="210" w:line="360" w:lineRule="auto"/>
      </w:pPr>
      <w:r>
        <w:rPr>
          <w:rFonts w:ascii="inter" w:eastAsia="inter" w:hAnsi="inter" w:cs="inter"/>
          <w:color w:val="000000"/>
        </w:rPr>
        <w:t xml:space="preserve">Green hydrogen and ammonia production similarly lack domestic manufacturing and operational experience. While The Green Solutions (TGS) is developing pioneering projects in Tra Vinh and Ben Tre provinces with 240 MW </w:t>
      </w:r>
      <w:proofErr w:type="spellStart"/>
      <w:r>
        <w:rPr>
          <w:rFonts w:ascii="inter" w:eastAsia="inter" w:hAnsi="inter" w:cs="inter"/>
          <w:color w:val="000000"/>
        </w:rPr>
        <w:t>electrolyzer</w:t>
      </w:r>
      <w:proofErr w:type="spellEnd"/>
      <w:r>
        <w:rPr>
          <w:rFonts w:ascii="inter" w:eastAsia="inter" w:hAnsi="inter" w:cs="inter"/>
          <w:color w:val="000000"/>
        </w:rPr>
        <w:t xml:space="preserve"> capacity each, Vietnam possesses no domestic </w:t>
      </w:r>
      <w:proofErr w:type="spellStart"/>
      <w:r>
        <w:rPr>
          <w:rFonts w:ascii="inter" w:eastAsia="inter" w:hAnsi="inter" w:cs="inter"/>
          <w:color w:val="000000"/>
        </w:rPr>
        <w:t>electrolyzer</w:t>
      </w:r>
      <w:proofErr w:type="spellEnd"/>
      <w:r>
        <w:rPr>
          <w:rFonts w:ascii="inter" w:eastAsia="inter" w:hAnsi="inter" w:cs="inter"/>
          <w:color w:val="000000"/>
        </w:rPr>
        <w:t xml:space="preserve"> manufacturing capability. The Tra Vinh project, partnering with John Cockerill for pressurized alkaline electrolysis technology provision, exemplifies Vietnam's current dependence on international technology suppliers while building operational experience. TGS's ambition to develop six additional projects with 240 MW </w:t>
      </w:r>
      <w:proofErr w:type="spellStart"/>
      <w:r>
        <w:rPr>
          <w:rFonts w:ascii="inter" w:eastAsia="inter" w:hAnsi="inter" w:cs="inter"/>
          <w:color w:val="000000"/>
        </w:rPr>
        <w:t>electrolyzer</w:t>
      </w:r>
      <w:proofErr w:type="spellEnd"/>
      <w:r>
        <w:rPr>
          <w:rFonts w:ascii="inter" w:eastAsia="inter" w:hAnsi="inter" w:cs="inter"/>
          <w:color w:val="000000"/>
        </w:rPr>
        <w:t xml:space="preserve"> capacity each before 2030, targeting total output of 500 </w:t>
      </w:r>
      <w:proofErr w:type="spellStart"/>
      <w:r>
        <w:rPr>
          <w:rFonts w:ascii="inter" w:eastAsia="inter" w:hAnsi="inter" w:cs="inter"/>
          <w:color w:val="000000"/>
        </w:rPr>
        <w:t>kilotonnes</w:t>
      </w:r>
      <w:proofErr w:type="spellEnd"/>
      <w:r>
        <w:rPr>
          <w:rFonts w:ascii="inter" w:eastAsia="inter" w:hAnsi="inter" w:cs="inter"/>
          <w:color w:val="000000"/>
        </w:rPr>
        <w:t xml:space="preserve"> green hydrogen and 3 million </w:t>
      </w:r>
      <w:proofErr w:type="spellStart"/>
      <w:r>
        <w:rPr>
          <w:rFonts w:ascii="inter" w:eastAsia="inter" w:hAnsi="inter" w:cs="inter"/>
          <w:color w:val="000000"/>
        </w:rPr>
        <w:t>tonnes</w:t>
      </w:r>
      <w:proofErr w:type="spellEnd"/>
      <w:r>
        <w:rPr>
          <w:rFonts w:ascii="inter" w:eastAsia="inter" w:hAnsi="inter" w:cs="inter"/>
          <w:color w:val="000000"/>
        </w:rPr>
        <w:t xml:space="preserve"> ammonia per year, creates substantial opportunities for international suppliers of electrolysis technology, renewable energy integration systems, and ammonia production facilities.</w:t>
      </w:r>
      <w:bookmarkStart w:id="56" w:name="fnref25"/>
      <w:bookmarkEnd w:id="56"/>
      <w:r>
        <w:fldChar w:fldCharType="begin"/>
      </w:r>
      <w:r>
        <w:instrText>HYPERLINK \l "fn25" \h</w:instrText>
      </w:r>
      <w:r>
        <w:fldChar w:fldCharType="separate"/>
      </w:r>
      <w:r>
        <w:rPr>
          <w:rFonts w:ascii="inter" w:eastAsia="inter" w:hAnsi="inter" w:cs="inter"/>
          <w:u w:val="single"/>
          <w:vertAlign w:val="superscript"/>
        </w:rPr>
        <w:t>[25]</w:t>
      </w:r>
      <w:r>
        <w:fldChar w:fldCharType="end"/>
      </w:r>
      <w:bookmarkStart w:id="57" w:name="fnref26"/>
      <w:bookmarkEnd w:id="57"/>
      <w:r>
        <w:fldChar w:fldCharType="begin"/>
      </w:r>
      <w:r>
        <w:instrText>HYPERLINK \l "fn26" \h</w:instrText>
      </w:r>
      <w:r>
        <w:fldChar w:fldCharType="separate"/>
      </w:r>
      <w:r>
        <w:rPr>
          <w:rFonts w:ascii="inter" w:eastAsia="inter" w:hAnsi="inter" w:cs="inter"/>
          <w:u w:val="single"/>
          <w:vertAlign w:val="superscript"/>
        </w:rPr>
        <w:t>[26]</w:t>
      </w:r>
      <w:r>
        <w:fldChar w:fldCharType="end"/>
      </w:r>
      <w:bookmarkStart w:id="58" w:name="fnref27"/>
      <w:bookmarkEnd w:id="58"/>
      <w:r>
        <w:fldChar w:fldCharType="begin"/>
      </w:r>
      <w:r>
        <w:instrText>HYPERLINK \l "fn27" \h</w:instrText>
      </w:r>
      <w:r>
        <w:fldChar w:fldCharType="separate"/>
      </w:r>
      <w:r>
        <w:rPr>
          <w:rFonts w:ascii="inter" w:eastAsia="inter" w:hAnsi="inter" w:cs="inter"/>
          <w:u w:val="single"/>
          <w:vertAlign w:val="superscript"/>
        </w:rPr>
        <w:t>[27]</w:t>
      </w:r>
      <w:r>
        <w:fldChar w:fldCharType="end"/>
      </w:r>
    </w:p>
    <w:p w14:paraId="0C8CFAC7" w14:textId="77777777" w:rsidR="00CB47B0" w:rsidRDefault="00000000">
      <w:pPr>
        <w:spacing w:before="315" w:after="105" w:line="360" w:lineRule="auto"/>
        <w:ind w:left="-30"/>
      </w:pPr>
      <w:bookmarkStart w:id="59" w:name="regulatory_and_institutional_bottlenecks"/>
      <w:r>
        <w:rPr>
          <w:rFonts w:ascii="inter" w:eastAsia="inter" w:hAnsi="inter" w:cs="inter"/>
          <w:b/>
          <w:color w:val="000000"/>
          <w:sz w:val="24"/>
        </w:rPr>
        <w:t>Regulatory and Institutional Bottlenecks</w:t>
      </w:r>
      <w:bookmarkEnd w:id="59"/>
    </w:p>
    <w:p w14:paraId="177D5779" w14:textId="77777777" w:rsidR="00CB47B0" w:rsidRDefault="00000000">
      <w:pPr>
        <w:spacing w:after="210" w:line="360" w:lineRule="auto"/>
      </w:pPr>
      <w:r>
        <w:rPr>
          <w:rFonts w:ascii="inter" w:eastAsia="inter" w:hAnsi="inter" w:cs="inter"/>
          <w:color w:val="000000"/>
        </w:rPr>
        <w:t>Beyond physical infrastructure and technology gaps, regulatory and institutional constraints create significant bottlenecks in Vietnam's low-carbon energy supply chain development. The absence of a comprehensive offshore wind-specific regulatory framework results in developers' unwillingness to fully engage with domestic suppliers and commit investment in local infrastructure. Vietnam lacks specific standards regarding sea area permitted for use in surveying and assessing project potential per unit of capacity, with optimal capacity determination remaining unresolved due to lack of appropriate guidelines and criteria.</w:t>
      </w:r>
      <w:bookmarkStart w:id="60" w:name="fnref28"/>
      <w:bookmarkEnd w:id="60"/>
      <w:r>
        <w:fldChar w:fldCharType="begin"/>
      </w:r>
      <w:r>
        <w:instrText>HYPERLINK \l "fn28" \h</w:instrText>
      </w:r>
      <w:r>
        <w:fldChar w:fldCharType="separate"/>
      </w:r>
      <w:r>
        <w:rPr>
          <w:rFonts w:ascii="inter" w:eastAsia="inter" w:hAnsi="inter" w:cs="inter"/>
          <w:u w:val="single"/>
          <w:vertAlign w:val="superscript"/>
        </w:rPr>
        <w:t>[28]</w:t>
      </w:r>
      <w:r>
        <w:fldChar w:fldCharType="end"/>
      </w:r>
      <w:bookmarkStart w:id="61" w:name="fnref18_5"/>
      <w:bookmarkEnd w:id="61"/>
      <w:r>
        <w:fldChar w:fldCharType="begin"/>
      </w:r>
      <w:r>
        <w:instrText>HYPERLINK \l "fn18" \h</w:instrText>
      </w:r>
      <w:r>
        <w:fldChar w:fldCharType="separate"/>
      </w:r>
      <w:r>
        <w:rPr>
          <w:rFonts w:ascii="inter" w:eastAsia="inter" w:hAnsi="inter" w:cs="inter"/>
          <w:u w:val="single"/>
          <w:vertAlign w:val="superscript"/>
        </w:rPr>
        <w:t>[18]</w:t>
      </w:r>
      <w:r>
        <w:fldChar w:fldCharType="end"/>
      </w:r>
    </w:p>
    <w:p w14:paraId="3E9172C2" w14:textId="77777777" w:rsidR="00CB47B0" w:rsidRDefault="00000000">
      <w:pPr>
        <w:spacing w:after="210" w:line="360" w:lineRule="auto"/>
      </w:pPr>
      <w:r>
        <w:rPr>
          <w:rFonts w:ascii="inter" w:eastAsia="inter" w:hAnsi="inter" w:cs="inter"/>
          <w:color w:val="000000"/>
        </w:rPr>
        <w:t>The multi-agency coordination challenges compound regulatory uncertainties. Offshore wind project development is cross-regulated by multiple and sometimes conflicting regulatory and governing bodies, with each province potentially having different views on required approvals and their procurement sequence. The Ministry of Industry and Trade identifies that investors must bear all risks during surveys due to lack of specific planning, along with unclear issues such as survey licensing authority, investment policy approval, and absence of regulations on conditions for foreign investors.</w:t>
      </w:r>
      <w:bookmarkStart w:id="62" w:name="fnref29"/>
      <w:bookmarkEnd w:id="62"/>
      <w:r>
        <w:fldChar w:fldCharType="begin"/>
      </w:r>
      <w:r>
        <w:instrText>HYPERLINK \l "fn29" \h</w:instrText>
      </w:r>
      <w:r>
        <w:fldChar w:fldCharType="separate"/>
      </w:r>
      <w:r>
        <w:rPr>
          <w:rFonts w:ascii="inter" w:eastAsia="inter" w:hAnsi="inter" w:cs="inter"/>
          <w:u w:val="single"/>
          <w:vertAlign w:val="superscript"/>
        </w:rPr>
        <w:t>[29]</w:t>
      </w:r>
      <w:r>
        <w:fldChar w:fldCharType="end"/>
      </w:r>
      <w:bookmarkStart w:id="63" w:name="fnref28_1"/>
      <w:bookmarkEnd w:id="63"/>
      <w:r>
        <w:fldChar w:fldCharType="begin"/>
      </w:r>
      <w:r>
        <w:instrText>HYPERLINK \l "fn28" \h</w:instrText>
      </w:r>
      <w:r>
        <w:fldChar w:fldCharType="separate"/>
      </w:r>
      <w:r>
        <w:rPr>
          <w:rFonts w:ascii="inter" w:eastAsia="inter" w:hAnsi="inter" w:cs="inter"/>
          <w:u w:val="single"/>
          <w:vertAlign w:val="superscript"/>
        </w:rPr>
        <w:t>[28]</w:t>
      </w:r>
      <w:r>
        <w:fldChar w:fldCharType="end"/>
      </w:r>
    </w:p>
    <w:p w14:paraId="6CEC3FFC" w14:textId="77777777" w:rsidR="00CB47B0" w:rsidRDefault="00000000">
      <w:pPr>
        <w:spacing w:after="210" w:line="360" w:lineRule="auto"/>
      </w:pPr>
      <w:r>
        <w:rPr>
          <w:rFonts w:ascii="inter" w:eastAsia="inter" w:hAnsi="inter" w:cs="inter"/>
          <w:color w:val="000000"/>
        </w:rPr>
        <w:t>Local content requirements and their absence create both opportunities and uncertainties. Unlike some regional competitors such as Taiwan with its 60% local content requirement, Vietnam has not yet established specific local content mandates for offshore wind projects. While this absence provides flexibility for international suppliers, it also creates uncertainty about future requirements that might favor domestic manufacturers. Learning from China's successful progression of local content requirements—starting at 50% in 2003, increasing to 70% in 2004, before abolition in 2009 as the industry matured—Vietnam may eventually implement time-bound local content policies to develop domestic capabilities while maintaining market competitiveness.</w:t>
      </w:r>
      <w:bookmarkStart w:id="64" w:name="fnref30"/>
      <w:bookmarkEnd w:id="64"/>
      <w:r>
        <w:fldChar w:fldCharType="begin"/>
      </w:r>
      <w:r>
        <w:instrText>HYPERLINK \l "fn30" \h</w:instrText>
      </w:r>
      <w:r>
        <w:fldChar w:fldCharType="separate"/>
      </w:r>
      <w:r>
        <w:rPr>
          <w:rFonts w:ascii="inter" w:eastAsia="inter" w:hAnsi="inter" w:cs="inter"/>
          <w:u w:val="single"/>
          <w:vertAlign w:val="superscript"/>
        </w:rPr>
        <w:t>[30]</w:t>
      </w:r>
      <w:r>
        <w:fldChar w:fldCharType="end"/>
      </w:r>
      <w:bookmarkStart w:id="65" w:name="fnref19_1"/>
      <w:bookmarkEnd w:id="65"/>
      <w:r>
        <w:fldChar w:fldCharType="begin"/>
      </w:r>
      <w:r>
        <w:instrText>HYPERLINK \l "fn19" \h</w:instrText>
      </w:r>
      <w:r>
        <w:fldChar w:fldCharType="separate"/>
      </w:r>
      <w:r>
        <w:rPr>
          <w:rFonts w:ascii="inter" w:eastAsia="inter" w:hAnsi="inter" w:cs="inter"/>
          <w:u w:val="single"/>
          <w:vertAlign w:val="superscript"/>
        </w:rPr>
        <w:t>[19]</w:t>
      </w:r>
      <w:r>
        <w:fldChar w:fldCharType="end"/>
      </w:r>
    </w:p>
    <w:p w14:paraId="3E5F99A3" w14:textId="77777777" w:rsidR="00CB47B0" w:rsidRDefault="00000000" w:rsidP="00A460CE">
      <w:pPr>
        <w:pStyle w:val="Heading1"/>
      </w:pPr>
      <w:bookmarkStart w:id="66" w:name="north_east_scotland_s_competitive_3fd413"/>
      <w:r>
        <w:rPr>
          <w:rFonts w:eastAsia="inter"/>
        </w:rPr>
        <w:t>North East Scotland's Competitive Advantages</w:t>
      </w:r>
      <w:bookmarkEnd w:id="66"/>
    </w:p>
    <w:p w14:paraId="7495DC0D" w14:textId="77777777" w:rsidR="00CB47B0" w:rsidRDefault="00000000">
      <w:pPr>
        <w:spacing w:before="315" w:after="105" w:line="360" w:lineRule="auto"/>
        <w:ind w:left="-30"/>
      </w:pPr>
      <w:bookmarkStart w:id="67" w:name="oil_and_gas_heritage_and_transfer_406396"/>
      <w:r>
        <w:rPr>
          <w:rFonts w:ascii="inter" w:eastAsia="inter" w:hAnsi="inter" w:cs="inter"/>
          <w:b/>
          <w:color w:val="000000"/>
          <w:sz w:val="24"/>
        </w:rPr>
        <w:t>Oil and Gas Heritage and Transferable Expertise</w:t>
      </w:r>
      <w:bookmarkEnd w:id="67"/>
    </w:p>
    <w:p w14:paraId="3427D6C2" w14:textId="77777777" w:rsidR="00CB47B0" w:rsidRDefault="00000000">
      <w:pPr>
        <w:spacing w:after="210" w:line="360" w:lineRule="auto"/>
      </w:pPr>
      <w:r>
        <w:rPr>
          <w:rFonts w:ascii="inter" w:eastAsia="inter" w:hAnsi="inter" w:cs="inter"/>
          <w:color w:val="000000"/>
        </w:rPr>
        <w:t>North East Scotland, particularly the Aberdeen region, has developed world-class capabilities in offshore energy over more than five decades of North Sea oil and gas operations. This deep expertise provides a unique competitive advantage when addressing Vietnam's low-carbon energy supply chain gaps. The region hosts more than 100 companies that have already been involved in major decommissioning projects such as Shell's Brent Field, demonstrating the breadth and depth of offshore engineering capabilities. This extensive experience in challenging offshore environments, complex subsea systems, and large-scale project execution directly translates to offshore wind, CCUS, and marine energy applications.</w:t>
      </w:r>
      <w:bookmarkStart w:id="68" w:name="fnref31"/>
      <w:bookmarkEnd w:id="68"/>
      <w:r>
        <w:fldChar w:fldCharType="begin"/>
      </w:r>
      <w:r>
        <w:instrText>HYPERLINK \l "fn31" \h</w:instrText>
      </w:r>
      <w:r>
        <w:fldChar w:fldCharType="separate"/>
      </w:r>
      <w:r>
        <w:rPr>
          <w:rFonts w:ascii="inter" w:eastAsia="inter" w:hAnsi="inter" w:cs="inter"/>
          <w:u w:val="single"/>
          <w:vertAlign w:val="superscript"/>
        </w:rPr>
        <w:t>[31]</w:t>
      </w:r>
      <w:r>
        <w:fldChar w:fldCharType="end"/>
      </w:r>
      <w:bookmarkStart w:id="69" w:name="fnref22_1"/>
      <w:bookmarkEnd w:id="69"/>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7766AA03" w14:textId="77777777" w:rsidR="00CB47B0" w:rsidRDefault="00000000">
      <w:pPr>
        <w:spacing w:after="210" w:line="360" w:lineRule="auto"/>
      </w:pPr>
      <w:r>
        <w:rPr>
          <w:rFonts w:ascii="inter" w:eastAsia="inter" w:hAnsi="inter" w:cs="inter"/>
          <w:color w:val="000000"/>
        </w:rPr>
        <w:t>Scotland's subsea engineering capability stands up exceptionally well to scrutiny and comparison with other traditional subsea hubs globally. The region possesses a wide range of engineering specialties with varied engineering skill sets housed within the full range of the supply chain from operators through to large Engineering, Procurement, Construction and Installation (EPCI) contractors. Due to the age and variety of North Sea infrastructure, Scottish engineering companies have tackled challenges that some other international subsea hubs have yet to experience, creating a breadth of knowledge and experience that is desired worldwide.</w:t>
      </w:r>
      <w:bookmarkStart w:id="70" w:name="fnref32"/>
      <w:bookmarkEnd w:id="70"/>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71" w:name="fnref31_1"/>
      <w:bookmarkEnd w:id="71"/>
      <w:r>
        <w:fldChar w:fldCharType="begin"/>
      </w:r>
      <w:r>
        <w:instrText>HYPERLINK \l "fn31" \h</w:instrText>
      </w:r>
      <w:r>
        <w:fldChar w:fldCharType="separate"/>
      </w:r>
      <w:r>
        <w:rPr>
          <w:rFonts w:ascii="inter" w:eastAsia="inter" w:hAnsi="inter" w:cs="inter"/>
          <w:u w:val="single"/>
          <w:vertAlign w:val="superscript"/>
        </w:rPr>
        <w:t>[31]</w:t>
      </w:r>
      <w:r>
        <w:fldChar w:fldCharType="end"/>
      </w:r>
    </w:p>
    <w:p w14:paraId="3895379E" w14:textId="77777777" w:rsidR="00CB47B0" w:rsidRDefault="00000000">
      <w:pPr>
        <w:spacing w:after="210" w:line="360" w:lineRule="auto"/>
      </w:pPr>
      <w:r>
        <w:rPr>
          <w:rFonts w:ascii="inter" w:eastAsia="inter" w:hAnsi="inter" w:cs="inter"/>
          <w:color w:val="000000"/>
        </w:rPr>
        <w:t>The transferability of skills from oil and gas to renewable energy extends across multiple domains. Offshore installation expertise, including foundation installation, subsea cable laying, and complex lifting operations, directly applies to offshore wind development. Project management capabilities honed on multi-billion dollar oil and gas projects translate seamlessly to large-scale renewable energy developments. Health, safety, and environmental management systems developed for harsh North Sea conditions exceed requirements in most offshore wind markets. Remote operations capabilities, including remotely operated vehicle (ROV) operations, subsea inspection, and intervention services, provide critical capabilities for offshore wind O&amp;M.</w:t>
      </w:r>
      <w:bookmarkStart w:id="72" w:name="fnref33"/>
      <w:bookmarkEnd w:id="72"/>
      <w:r>
        <w:fldChar w:fldCharType="begin"/>
      </w:r>
      <w:r>
        <w:instrText>HYPERLINK \l "fn33" \h</w:instrText>
      </w:r>
      <w:r>
        <w:fldChar w:fldCharType="separate"/>
      </w:r>
      <w:r>
        <w:rPr>
          <w:rFonts w:ascii="inter" w:eastAsia="inter" w:hAnsi="inter" w:cs="inter"/>
          <w:u w:val="single"/>
          <w:vertAlign w:val="superscript"/>
        </w:rPr>
        <w:t>[33]</w:t>
      </w:r>
      <w:r>
        <w:fldChar w:fldCharType="end"/>
      </w:r>
      <w:bookmarkStart w:id="73" w:name="fnref22_2"/>
      <w:bookmarkEnd w:id="73"/>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74" w:name="fnref21_1"/>
      <w:bookmarkEnd w:id="74"/>
      <w:r>
        <w:fldChar w:fldCharType="begin"/>
      </w:r>
      <w:r>
        <w:instrText>HYPERLINK \l "fn21" \h</w:instrText>
      </w:r>
      <w:r>
        <w:fldChar w:fldCharType="separate"/>
      </w:r>
      <w:r>
        <w:rPr>
          <w:rFonts w:ascii="inter" w:eastAsia="inter" w:hAnsi="inter" w:cs="inter"/>
          <w:u w:val="single"/>
          <w:vertAlign w:val="superscript"/>
        </w:rPr>
        <w:t>[21]</w:t>
      </w:r>
      <w:r>
        <w:fldChar w:fldCharType="end"/>
      </w:r>
    </w:p>
    <w:p w14:paraId="4F836C0F" w14:textId="77777777" w:rsidR="00CB47B0" w:rsidRDefault="00000000">
      <w:pPr>
        <w:spacing w:before="315" w:after="105" w:line="360" w:lineRule="auto"/>
        <w:ind w:left="-30"/>
      </w:pPr>
      <w:bookmarkStart w:id="75" w:name="decommissioning_excellence"/>
      <w:r>
        <w:rPr>
          <w:rFonts w:ascii="inter" w:eastAsia="inter" w:hAnsi="inter" w:cs="inter"/>
          <w:b/>
          <w:color w:val="000000"/>
          <w:sz w:val="24"/>
        </w:rPr>
        <w:t>Decommissioning Excellence</w:t>
      </w:r>
      <w:bookmarkEnd w:id="75"/>
    </w:p>
    <w:p w14:paraId="7FD5561C" w14:textId="77777777" w:rsidR="00CB47B0" w:rsidRDefault="00000000">
      <w:pPr>
        <w:spacing w:after="210" w:line="360" w:lineRule="auto"/>
      </w:pPr>
      <w:r>
        <w:rPr>
          <w:rFonts w:ascii="inter" w:eastAsia="inter" w:hAnsi="inter" w:cs="inter"/>
          <w:color w:val="000000"/>
        </w:rPr>
        <w:t>North East Scotland has emerged as a global leader in offshore decommissioning, with this expertise representing one of the region's strongest competitive advantages in the Vietnamese market. Aberdeen is home to a £38 million National Decommissioning Centre partnership positioned to become a global leader in research and development focused on reducing decommissioning costs. Scotland has developed a comprehensive roadmap to decommission wells as safely, simply, and cheaply as possible, achieving documented cost reductions of 35% through innovative approaches and technologies.</w:t>
      </w:r>
      <w:bookmarkStart w:id="76" w:name="fnref34"/>
      <w:bookmarkEnd w:id="76"/>
      <w:r>
        <w:fldChar w:fldCharType="begin"/>
      </w:r>
      <w:r>
        <w:instrText>HYPERLINK \l "fn34" \h</w:instrText>
      </w:r>
      <w:r>
        <w:fldChar w:fldCharType="separate"/>
      </w:r>
      <w:r>
        <w:rPr>
          <w:rFonts w:ascii="inter" w:eastAsia="inter" w:hAnsi="inter" w:cs="inter"/>
          <w:u w:val="single"/>
          <w:vertAlign w:val="superscript"/>
        </w:rPr>
        <w:t>[34]</w:t>
      </w:r>
      <w:r>
        <w:fldChar w:fldCharType="end"/>
      </w:r>
    </w:p>
    <w:p w14:paraId="36556822" w14:textId="77777777" w:rsidR="00CB47B0" w:rsidRDefault="00000000">
      <w:pPr>
        <w:spacing w:after="210" w:line="360" w:lineRule="auto"/>
      </w:pPr>
      <w:r>
        <w:rPr>
          <w:rFonts w:ascii="inter" w:eastAsia="inter" w:hAnsi="inter" w:cs="inter"/>
          <w:color w:val="000000"/>
        </w:rPr>
        <w:t xml:space="preserve">More than 700 Scottish suppliers possess expertise in subsea construction, inspection, repair and maintenance, research and testing, and decommissioning services that are deployed globally. Companies like </w:t>
      </w:r>
      <w:proofErr w:type="spellStart"/>
      <w:r>
        <w:rPr>
          <w:rFonts w:ascii="inter" w:eastAsia="inter" w:hAnsi="inter" w:cs="inter"/>
          <w:color w:val="000000"/>
        </w:rPr>
        <w:t>CessCon</w:t>
      </w:r>
      <w:proofErr w:type="spellEnd"/>
      <w:r>
        <w:rPr>
          <w:rFonts w:ascii="inter" w:eastAsia="inter" w:hAnsi="inter" w:cs="inter"/>
          <w:color w:val="000000"/>
        </w:rPr>
        <w:t xml:space="preserve"> Decom provide leading decommissioning expertise in Europe, focused on environmentally friendly and safe solutions for both onshore and offshore applications. Fairfield Decom represents a new kind of decommissioning delivery business model, providing best-in-class innovative solutions to the challenge of ultra-late life operations and decommissioning.</w:t>
      </w:r>
      <w:bookmarkStart w:id="77" w:name="fnref34_1"/>
      <w:bookmarkEnd w:id="77"/>
      <w:r>
        <w:fldChar w:fldCharType="begin"/>
      </w:r>
      <w:r>
        <w:instrText>HYPERLINK \l "fn34" \h</w:instrText>
      </w:r>
      <w:r>
        <w:fldChar w:fldCharType="separate"/>
      </w:r>
      <w:r>
        <w:rPr>
          <w:rFonts w:ascii="inter" w:eastAsia="inter" w:hAnsi="inter" w:cs="inter"/>
          <w:u w:val="single"/>
          <w:vertAlign w:val="superscript"/>
        </w:rPr>
        <w:t>[34]</w:t>
      </w:r>
      <w:r>
        <w:fldChar w:fldCharType="end"/>
      </w:r>
    </w:p>
    <w:p w14:paraId="0588B2DA" w14:textId="77777777" w:rsidR="00CB47B0" w:rsidRDefault="00000000">
      <w:pPr>
        <w:spacing w:after="210" w:line="360" w:lineRule="auto"/>
      </w:pPr>
      <w:r>
        <w:rPr>
          <w:rFonts w:ascii="inter" w:eastAsia="inter" w:hAnsi="inter" w:cs="inter"/>
          <w:color w:val="000000"/>
        </w:rPr>
        <w:t>The Vietnam market presents particularly strong decommissioning opportunities given the country's aging offshore oil and gas infrastructure. The Song Doc oil platform, which officially ceased production in February 2024, represents Vietnam's first major decommissioning project, with work already underway on platform removal. This pioneering project demonstrates the emerging market for decommissioning services in Vietnam, where numerous offshore platforms will require decommissioning over the coming decades as fields are depleted. North East Scotland companies possess precisely the expertise Vietnam requires, including well abandonment technologies, subsea infrastructure removal, platform decommissioning and disposal, environmental remediation, and waste management.</w:t>
      </w:r>
      <w:bookmarkStart w:id="78" w:name="fnref35"/>
      <w:bookmarkEnd w:id="78"/>
      <w:r>
        <w:fldChar w:fldCharType="begin"/>
      </w:r>
      <w:r>
        <w:instrText>HYPERLINK \l "fn35" \h</w:instrText>
      </w:r>
      <w:r>
        <w:fldChar w:fldCharType="separate"/>
      </w:r>
      <w:r>
        <w:rPr>
          <w:rFonts w:ascii="inter" w:eastAsia="inter" w:hAnsi="inter" w:cs="inter"/>
          <w:u w:val="single"/>
          <w:vertAlign w:val="superscript"/>
        </w:rPr>
        <w:t>[35]</w:t>
      </w:r>
      <w:r>
        <w:fldChar w:fldCharType="end"/>
      </w:r>
      <w:bookmarkStart w:id="79" w:name="fnref36"/>
      <w:bookmarkEnd w:id="79"/>
      <w:r>
        <w:fldChar w:fldCharType="begin"/>
      </w:r>
      <w:r>
        <w:instrText>HYPERLINK \l "fn36" \h</w:instrText>
      </w:r>
      <w:r>
        <w:fldChar w:fldCharType="separate"/>
      </w:r>
      <w:r>
        <w:rPr>
          <w:rFonts w:ascii="inter" w:eastAsia="inter" w:hAnsi="inter" w:cs="inter"/>
          <w:u w:val="single"/>
          <w:vertAlign w:val="superscript"/>
        </w:rPr>
        <w:t>[36]</w:t>
      </w:r>
      <w:r>
        <w:fldChar w:fldCharType="end"/>
      </w:r>
      <w:bookmarkStart w:id="80" w:name="fnref22_3"/>
      <w:bookmarkEnd w:id="80"/>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68420825" w14:textId="77777777" w:rsidR="00CB47B0" w:rsidRDefault="00000000">
      <w:pPr>
        <w:spacing w:after="210" w:line="360" w:lineRule="auto"/>
      </w:pPr>
      <w:r>
        <w:rPr>
          <w:rFonts w:ascii="inter" w:eastAsia="inter" w:hAnsi="inter" w:cs="inter"/>
          <w:color w:val="000000"/>
        </w:rPr>
        <w:t xml:space="preserve">Specific Scottish innovations in decommissioning offer compelling value propositions for the Vietnamese market. Bibby Offshore's strategic partnership combining Baker Hughes' Well Abandonment Straddle Packer tool and the Proserv Multi-String Cutting Tool provides a solution that safely reduces costs, increases effectiveness, and improves economies of scale compared to traditional approaches relying on costly mobile offshore drilling units. </w:t>
      </w:r>
      <w:proofErr w:type="spellStart"/>
      <w:r>
        <w:rPr>
          <w:rFonts w:ascii="inter" w:eastAsia="inter" w:hAnsi="inter" w:cs="inter"/>
          <w:color w:val="000000"/>
        </w:rPr>
        <w:t>Coretrax</w:t>
      </w:r>
      <w:proofErr w:type="spellEnd"/>
      <w:r>
        <w:rPr>
          <w:rFonts w:ascii="inter" w:eastAsia="inter" w:hAnsi="inter" w:cs="inter"/>
          <w:color w:val="000000"/>
        </w:rPr>
        <w:t xml:space="preserve"> introduced specialist wellbore cleanup fluid with super high carrying capacity, reducing required volume and fluid interface, thereby reducing slops to be treated—an innovative approach that has delivered over £10 million in savings to customers. These cost-effective solutions resonate strongly in emerging markets like Vietnam where cost competitiveness remains paramount.</w:t>
      </w:r>
      <w:bookmarkStart w:id="81" w:name="fnref22_4"/>
      <w:bookmarkEnd w:id="81"/>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82" w:name="fnref34_2"/>
      <w:bookmarkEnd w:id="82"/>
      <w:r>
        <w:fldChar w:fldCharType="begin"/>
      </w:r>
      <w:r>
        <w:instrText>HYPERLINK \l "fn34" \h</w:instrText>
      </w:r>
      <w:r>
        <w:fldChar w:fldCharType="separate"/>
      </w:r>
      <w:r>
        <w:rPr>
          <w:rFonts w:ascii="inter" w:eastAsia="inter" w:hAnsi="inter" w:cs="inter"/>
          <w:u w:val="single"/>
          <w:vertAlign w:val="superscript"/>
        </w:rPr>
        <w:t>[34]</w:t>
      </w:r>
      <w:r>
        <w:fldChar w:fldCharType="end"/>
      </w:r>
    </w:p>
    <w:p w14:paraId="483F6110" w14:textId="77777777" w:rsidR="00CB47B0" w:rsidRDefault="00000000">
      <w:pPr>
        <w:spacing w:before="315" w:after="105" w:line="360" w:lineRule="auto"/>
        <w:ind w:left="-30"/>
      </w:pPr>
      <w:bookmarkStart w:id="83" w:name="offshore_wind_development_leadership"/>
      <w:r>
        <w:rPr>
          <w:rFonts w:ascii="inter" w:eastAsia="inter" w:hAnsi="inter" w:cs="inter"/>
          <w:b/>
          <w:color w:val="000000"/>
          <w:sz w:val="24"/>
        </w:rPr>
        <w:t>Offshore Wind Development Leadership</w:t>
      </w:r>
      <w:bookmarkEnd w:id="83"/>
    </w:p>
    <w:p w14:paraId="427B72B0" w14:textId="77777777" w:rsidR="00CB47B0" w:rsidRDefault="00000000">
      <w:pPr>
        <w:spacing w:after="210" w:line="360" w:lineRule="auto"/>
      </w:pPr>
      <w:r>
        <w:rPr>
          <w:rFonts w:ascii="inter" w:eastAsia="inter" w:hAnsi="inter" w:cs="inter"/>
          <w:color w:val="000000"/>
        </w:rPr>
        <w:t xml:space="preserve">North East Scotland has positioned itself as a leading offshore wind development hub, with capabilities spanning the entire value chain from early-stage development through construction to operations. The region is home to 75% of </w:t>
      </w:r>
      <w:proofErr w:type="spellStart"/>
      <w:r>
        <w:rPr>
          <w:rFonts w:ascii="inter" w:eastAsia="inter" w:hAnsi="inter" w:cs="inter"/>
          <w:color w:val="000000"/>
        </w:rPr>
        <w:t>ScotWind</w:t>
      </w:r>
      <w:proofErr w:type="spellEnd"/>
      <w:r>
        <w:rPr>
          <w:rFonts w:ascii="inter" w:eastAsia="inter" w:hAnsi="inter" w:cs="inter"/>
          <w:color w:val="000000"/>
        </w:rPr>
        <w:t xml:space="preserve"> licenses, equating to 17 GW of power generation capacity, all located within 100 nautical miles of Aberdeen. This concentration of offshore wind development activity has catalyzed extensive supply chain development and capability building directly applicable to international markets.</w:t>
      </w:r>
      <w:bookmarkStart w:id="84" w:name="fnref33_1"/>
      <w:bookmarkEnd w:id="84"/>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14EB958B" w14:textId="77777777" w:rsidR="00CB47B0" w:rsidRDefault="00000000">
      <w:pPr>
        <w:spacing w:after="210" w:line="360" w:lineRule="auto"/>
      </w:pPr>
      <w:r>
        <w:rPr>
          <w:rFonts w:ascii="inter" w:eastAsia="inter" w:hAnsi="inter" w:cs="inter"/>
          <w:color w:val="000000"/>
        </w:rPr>
        <w:t>The region hosts world-first innovations including Hywind, the world's first floating offshore wind farm, which has demonstrated the technical and commercial viability of floating wind technology. The European Offshore Wind Deployment Centre (EOWDC), Scotland's largest offshore wind test and demonstration facility launched in July 2018, is located approximately 3 kilometers off the Aberdeenshire coast and provides critical testing and validation capabilities. The National Floating Wind Innovation Centre (FLOWIC), a £9 million facility situated in Aberdeen, serves as the UK's first innovation center focused purely on floating offshore wind technology development.</w:t>
      </w:r>
      <w:bookmarkStart w:id="85" w:name="fnref33_2"/>
      <w:bookmarkEnd w:id="85"/>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2CD4B38A" w14:textId="77777777" w:rsidR="00CB47B0" w:rsidRDefault="00000000">
      <w:pPr>
        <w:spacing w:after="210" w:line="360" w:lineRule="auto"/>
      </w:pPr>
      <w:r>
        <w:rPr>
          <w:rFonts w:ascii="inter" w:eastAsia="inter" w:hAnsi="inter" w:cs="inter"/>
          <w:color w:val="000000"/>
        </w:rPr>
        <w:t>The Innovation and Targeted Oil &amp; Gas (INTOG) leasing round, the first globally designed to enable offshore wind projects dedicated to supplying electricity to offshore oil and gas platforms, has granted eight targeted oil and gas projects exclusive development rights plus five small-scale innovation projects. This unique experience in integrating offshore wind with existing offshore infrastructure directly parallels Vietnam's potential for offshore wind development near its oil and gas installations.</w:t>
      </w:r>
      <w:bookmarkStart w:id="86" w:name="fnref33_3"/>
      <w:bookmarkEnd w:id="86"/>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76F877E4" w14:textId="77777777" w:rsidR="00CB47B0" w:rsidRDefault="00000000">
      <w:pPr>
        <w:spacing w:after="210" w:line="360" w:lineRule="auto"/>
      </w:pPr>
      <w:r>
        <w:rPr>
          <w:rFonts w:ascii="inter" w:eastAsia="inter" w:hAnsi="inter" w:cs="inter"/>
          <w:color w:val="000000"/>
        </w:rPr>
        <w:t>North East Scotland's supply chain capabilities for offshore wind encompass the full spectrum of project requirements. Companies provide foundation design and engineering, with extensive experience in both fixed-bottom and floating foundations applicable to Vietnam's mixed-depth offshore wind zones. Installation and commissioning expertise, including specialized vessels and marine operations, addresses Vietnam's critical installation vessel gap. Operations and maintenance services, including remote operations capabilities developed for North Sea oil and gas, offer solutions for Vietnam's emerging offshore wind O&amp;M requirements.</w:t>
      </w:r>
      <w:bookmarkStart w:id="87" w:name="fnref37"/>
      <w:bookmarkEnd w:id="87"/>
      <w:r>
        <w:fldChar w:fldCharType="begin"/>
      </w:r>
      <w:r>
        <w:instrText>HYPERLINK \l "fn37" \h</w:instrText>
      </w:r>
      <w:r>
        <w:fldChar w:fldCharType="separate"/>
      </w:r>
      <w:r>
        <w:rPr>
          <w:rFonts w:ascii="inter" w:eastAsia="inter" w:hAnsi="inter" w:cs="inter"/>
          <w:u w:val="single"/>
          <w:vertAlign w:val="superscript"/>
        </w:rPr>
        <w:t>[37]</w:t>
      </w:r>
      <w:r>
        <w:fldChar w:fldCharType="end"/>
      </w:r>
      <w:bookmarkStart w:id="88" w:name="fnref21_2"/>
      <w:bookmarkEnd w:id="88"/>
      <w:r>
        <w:fldChar w:fldCharType="begin"/>
      </w:r>
      <w:r>
        <w:instrText>HYPERLINK \l "fn21" \h</w:instrText>
      </w:r>
      <w:r>
        <w:fldChar w:fldCharType="separate"/>
      </w:r>
      <w:r>
        <w:rPr>
          <w:rFonts w:ascii="inter" w:eastAsia="inter" w:hAnsi="inter" w:cs="inter"/>
          <w:u w:val="single"/>
          <w:vertAlign w:val="superscript"/>
        </w:rPr>
        <w:t>[21]</w:t>
      </w:r>
      <w:r>
        <w:fldChar w:fldCharType="end"/>
      </w:r>
    </w:p>
    <w:p w14:paraId="351C5FF6" w14:textId="77777777" w:rsidR="00CB47B0" w:rsidRDefault="00000000">
      <w:pPr>
        <w:spacing w:before="315" w:after="105" w:line="360" w:lineRule="auto"/>
        <w:ind w:left="-30"/>
      </w:pPr>
      <w:bookmarkStart w:id="89" w:name="project_management_and_engineerin_73ded8"/>
      <w:r>
        <w:rPr>
          <w:rFonts w:ascii="inter" w:eastAsia="inter" w:hAnsi="inter" w:cs="inter"/>
          <w:b/>
          <w:color w:val="000000"/>
          <w:sz w:val="24"/>
        </w:rPr>
        <w:t>Project Management and Engineering Services</w:t>
      </w:r>
      <w:bookmarkEnd w:id="89"/>
    </w:p>
    <w:p w14:paraId="1C9A3D35" w14:textId="77777777" w:rsidR="00CB47B0" w:rsidRDefault="00000000">
      <w:pPr>
        <w:spacing w:after="210" w:line="360" w:lineRule="auto"/>
      </w:pPr>
      <w:r>
        <w:rPr>
          <w:rFonts w:ascii="inter" w:eastAsia="inter" w:hAnsi="inter" w:cs="inter"/>
          <w:color w:val="000000"/>
        </w:rPr>
        <w:t>Scottish engineering firms have developed exceptional project management and engineering capabilities through decades of delivering complex offshore projects in one of the world's most challenging marine environments. Wood, for example, possesses an unrivalled track record with over 2.5 million man-hours of decommissioning scope delivered in the last decade, demonstrating the scale and consistency of Scottish engineering delivery. This depth of project execution experience, combined with in-depth understanding of offshore assets and strong strategic alliances, facilitates provision of complete engineering solutions from planning phases through offshore implementation.</w:t>
      </w:r>
      <w:bookmarkStart w:id="90" w:name="fnref22_5"/>
      <w:bookmarkEnd w:id="90"/>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642ACFC0" w14:textId="77777777" w:rsidR="00CB47B0" w:rsidRDefault="00000000">
      <w:pPr>
        <w:spacing w:after="210" w:line="360" w:lineRule="auto"/>
      </w:pPr>
      <w:r>
        <w:rPr>
          <w:rFonts w:ascii="inter" w:eastAsia="inter" w:hAnsi="inter" w:cs="inter"/>
          <w:color w:val="000000"/>
        </w:rPr>
        <w:t>The range of engineering services available from North East Scotland companies spans the entire project lifecycle. Front-end engineering design (FEED) capabilities allow Scottish firms to support projects from conceptual design through detailed engineering. Detailed design expertise covers structural, mechanical, electrical, and subsea systems specific to offshore energy applications. Project management integration, ensuring coordination across multiple contractors and disciplines, represents a core Scottish capability developed through managing complex North Sea projects.</w:t>
      </w:r>
      <w:bookmarkStart w:id="91" w:name="fnref32_1"/>
      <w:bookmarkEnd w:id="91"/>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92" w:name="fnref22_6"/>
      <w:bookmarkEnd w:id="92"/>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5970ED1D" w14:textId="77777777" w:rsidR="00CB47B0" w:rsidRDefault="00000000">
      <w:pPr>
        <w:spacing w:after="210" w:line="360" w:lineRule="auto"/>
      </w:pPr>
      <w:r>
        <w:rPr>
          <w:rFonts w:ascii="inter" w:eastAsia="inter" w:hAnsi="inter" w:cs="inter"/>
          <w:color w:val="000000"/>
        </w:rPr>
        <w:t>Scottish firms have demonstrated particular strength in rapid project delivery under challenging timelines. Zenith Energy's example of bringing a high-pressure, high-H2S well abandonment project from high-level planning through detailed planning, permitting, and execution in just four months exemplifies the agility Scottish companies can provide. This rapid mobilization capability offers significant value in Vietnam's fast-developing renewable energy market where speed to market provides competitive advantage.</w:t>
      </w:r>
      <w:bookmarkStart w:id="93" w:name="fnref3_3"/>
      <w:bookmarkEnd w:id="93"/>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94" w:name="fnref22_7"/>
      <w:bookmarkEnd w:id="94"/>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5C454EBF" w14:textId="77777777" w:rsidR="00CB47B0" w:rsidRDefault="00000000">
      <w:pPr>
        <w:spacing w:after="210" w:line="360" w:lineRule="auto"/>
      </w:pPr>
      <w:r>
        <w:rPr>
          <w:rFonts w:ascii="inter" w:eastAsia="inter" w:hAnsi="inter" w:cs="inter"/>
          <w:color w:val="000000"/>
        </w:rPr>
        <w:t xml:space="preserve">The analytical and technical capabilities of Scottish engineering firms provide additional differentiation. </w:t>
      </w:r>
      <w:proofErr w:type="spellStart"/>
      <w:r>
        <w:rPr>
          <w:rFonts w:ascii="inter" w:eastAsia="inter" w:hAnsi="inter" w:cs="inter"/>
          <w:color w:val="000000"/>
        </w:rPr>
        <w:t>Aquaterra</w:t>
      </w:r>
      <w:proofErr w:type="spellEnd"/>
      <w:r>
        <w:rPr>
          <w:rFonts w:ascii="inter" w:eastAsia="inter" w:hAnsi="inter" w:cs="inter"/>
          <w:color w:val="000000"/>
        </w:rPr>
        <w:t xml:space="preserve"> Energy's in-house riser and conductor analysis experts have supported numerous global operators with practical and efficient solutions for safe and efficient well re-entry and decommissioning. Subsea 7's wholly owned subsidiary Seaway Heavy Lifting provides complete seabed-to-surface packages with proven track record of safe, efficient, and reliable performance internationally. These specialized technical capabilities, developed through demanding North Sea applications, exceed requirements in most offshore renewable energy markets including Vietnam.</w:t>
      </w:r>
      <w:bookmarkStart w:id="95" w:name="fnref31_2"/>
      <w:bookmarkEnd w:id="95"/>
      <w:r>
        <w:fldChar w:fldCharType="begin"/>
      </w:r>
      <w:r>
        <w:instrText>HYPERLINK \l "fn31" \h</w:instrText>
      </w:r>
      <w:r>
        <w:fldChar w:fldCharType="separate"/>
      </w:r>
      <w:r>
        <w:rPr>
          <w:rFonts w:ascii="inter" w:eastAsia="inter" w:hAnsi="inter" w:cs="inter"/>
          <w:u w:val="single"/>
          <w:vertAlign w:val="superscript"/>
        </w:rPr>
        <w:t>[31]</w:t>
      </w:r>
      <w:r>
        <w:fldChar w:fldCharType="end"/>
      </w:r>
      <w:bookmarkStart w:id="96" w:name="fnref22_8"/>
      <w:bookmarkEnd w:id="96"/>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97" w:name="fnref32_2"/>
      <w:bookmarkEnd w:id="97"/>
      <w:r>
        <w:fldChar w:fldCharType="begin"/>
      </w:r>
      <w:r>
        <w:instrText>HYPERLINK \l "fn32" \h</w:instrText>
      </w:r>
      <w:r>
        <w:fldChar w:fldCharType="separate"/>
      </w:r>
      <w:r>
        <w:rPr>
          <w:rFonts w:ascii="inter" w:eastAsia="inter" w:hAnsi="inter" w:cs="inter"/>
          <w:u w:val="single"/>
          <w:vertAlign w:val="superscript"/>
        </w:rPr>
        <w:t>[32]</w:t>
      </w:r>
      <w:r>
        <w:fldChar w:fldCharType="end"/>
      </w:r>
    </w:p>
    <w:p w14:paraId="69EACDBA" w14:textId="77777777" w:rsidR="00CB47B0" w:rsidRDefault="00000000">
      <w:pPr>
        <w:spacing w:before="315" w:after="105" w:line="360" w:lineRule="auto"/>
        <w:ind w:left="-30"/>
      </w:pPr>
      <w:bookmarkStart w:id="98" w:name="innovation_and_technology_development"/>
      <w:r>
        <w:rPr>
          <w:rFonts w:ascii="inter" w:eastAsia="inter" w:hAnsi="inter" w:cs="inter"/>
          <w:b/>
          <w:color w:val="000000"/>
          <w:sz w:val="24"/>
        </w:rPr>
        <w:t>Innovation and Technology Development</w:t>
      </w:r>
      <w:bookmarkEnd w:id="98"/>
    </w:p>
    <w:p w14:paraId="6FE33853" w14:textId="77777777" w:rsidR="00CB47B0" w:rsidRDefault="00000000">
      <w:pPr>
        <w:spacing w:after="210" w:line="360" w:lineRule="auto"/>
      </w:pPr>
      <w:r>
        <w:rPr>
          <w:rFonts w:ascii="inter" w:eastAsia="inter" w:hAnsi="inter" w:cs="inter"/>
          <w:color w:val="000000"/>
        </w:rPr>
        <w:t>Innovation constitutes a defining characteristic of North East Scotland's energy sector, with the region demonstrating consistent ability to develop and deploy new technologies addressing complex offshore challenges. Scotland's innovation ecosystem includes robust support networks assisting companies in technology development and commercialization. Organizations such as the Offshore Renewable Energy (ORE) Catapult provide specialized facilities, testing capabilities, and business support specifically targeted at offshore renewable energy innovation.</w:t>
      </w:r>
      <w:bookmarkStart w:id="99" w:name="fnref38"/>
      <w:bookmarkEnd w:id="99"/>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100" w:name="fnref21_3"/>
      <w:bookmarkEnd w:id="100"/>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101" w:name="fnref31_3"/>
      <w:bookmarkEnd w:id="101"/>
      <w:r>
        <w:fldChar w:fldCharType="begin"/>
      </w:r>
      <w:r>
        <w:instrText>HYPERLINK \l "fn31" \h</w:instrText>
      </w:r>
      <w:r>
        <w:fldChar w:fldCharType="separate"/>
      </w:r>
      <w:r>
        <w:rPr>
          <w:rFonts w:ascii="inter" w:eastAsia="inter" w:hAnsi="inter" w:cs="inter"/>
          <w:u w:val="single"/>
          <w:vertAlign w:val="superscript"/>
        </w:rPr>
        <w:t>[31]</w:t>
      </w:r>
      <w:r>
        <w:fldChar w:fldCharType="end"/>
      </w:r>
    </w:p>
    <w:p w14:paraId="7AF4CD99" w14:textId="77777777" w:rsidR="00CB47B0" w:rsidRDefault="00000000">
      <w:pPr>
        <w:spacing w:after="210" w:line="360" w:lineRule="auto"/>
      </w:pPr>
      <w:r>
        <w:rPr>
          <w:rFonts w:ascii="inter" w:eastAsia="inter" w:hAnsi="inter" w:cs="inter"/>
          <w:color w:val="000000"/>
        </w:rPr>
        <w:t>The Fit for Offshore Renewables (F4OR) program exemplifies this innovation support infrastructure. As one of the UK's most successful supply chain mentoring programs, F4OR delivers tailored business support for companies targeting success in the growing offshore renewables energy sector. Companies completing previous F4OR programs have experienced an average 28% increase in turnover with many securing new contracts, demonstrating the program's effectiveness in facilitating market entry and growth. The fifth regional F4OR program, funded with £150,000 support from the Energy Transition Zone (ETZ Ltd), selected twelve North East Scotland businesses for intensive support in 2024, maintaining the region's pipeline of companies transitioning into offshore renewables.</w:t>
      </w:r>
      <w:bookmarkStart w:id="102" w:name="fnref21_4"/>
      <w:bookmarkEnd w:id="102"/>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103" w:name="fnref38_1"/>
      <w:bookmarkEnd w:id="103"/>
      <w:r>
        <w:fldChar w:fldCharType="begin"/>
      </w:r>
      <w:r>
        <w:instrText>HYPERLINK \l "fn38" \h</w:instrText>
      </w:r>
      <w:r>
        <w:fldChar w:fldCharType="separate"/>
      </w:r>
      <w:r>
        <w:rPr>
          <w:rFonts w:ascii="inter" w:eastAsia="inter" w:hAnsi="inter" w:cs="inter"/>
          <w:u w:val="single"/>
          <w:vertAlign w:val="superscript"/>
        </w:rPr>
        <w:t>[38]</w:t>
      </w:r>
      <w:r>
        <w:fldChar w:fldCharType="end"/>
      </w:r>
    </w:p>
    <w:p w14:paraId="1C8053C1" w14:textId="77777777" w:rsidR="00CB47B0" w:rsidRDefault="00000000">
      <w:pPr>
        <w:spacing w:after="210" w:line="360" w:lineRule="auto"/>
      </w:pPr>
      <w:r>
        <w:rPr>
          <w:rFonts w:ascii="inter" w:eastAsia="inter" w:hAnsi="inter" w:cs="inter"/>
          <w:color w:val="000000"/>
        </w:rPr>
        <w:t xml:space="preserve">Scottish companies have pioneered numerous technologies applicable to Vietnam's offshore energy development. Innovations in well abandonment, including advanced packer systems and multi-string cutting tools, reduce costs while improving safety. Subsea compression technologies, while still being proven at scale, have been qualified and tested with Scottish involvement, representing potential future applications for Vietnam's oil and gas sector. Floating offshore wind turbine technologies, including integrated wind-wave systems being developed by companies like </w:t>
      </w:r>
      <w:proofErr w:type="spellStart"/>
      <w:r>
        <w:rPr>
          <w:rFonts w:ascii="inter" w:eastAsia="inter" w:hAnsi="inter" w:cs="inter"/>
          <w:color w:val="000000"/>
        </w:rPr>
        <w:t>SeaTwirl</w:t>
      </w:r>
      <w:proofErr w:type="spellEnd"/>
      <w:r>
        <w:rPr>
          <w:rFonts w:ascii="inter" w:eastAsia="inter" w:hAnsi="inter" w:cs="inter"/>
          <w:color w:val="000000"/>
        </w:rPr>
        <w:t>, offer solutions for Vietnam's deeper offshore waters.</w:t>
      </w:r>
      <w:bookmarkStart w:id="104" w:name="fnref39"/>
      <w:bookmarkEnd w:id="104"/>
      <w:r>
        <w:fldChar w:fldCharType="begin"/>
      </w:r>
      <w:r>
        <w:instrText>HYPERLINK \l "fn39" \h</w:instrText>
      </w:r>
      <w:r>
        <w:fldChar w:fldCharType="separate"/>
      </w:r>
      <w:r>
        <w:rPr>
          <w:rFonts w:ascii="inter" w:eastAsia="inter" w:hAnsi="inter" w:cs="inter"/>
          <w:u w:val="single"/>
          <w:vertAlign w:val="superscript"/>
        </w:rPr>
        <w:t>[39]</w:t>
      </w:r>
      <w:r>
        <w:fldChar w:fldCharType="end"/>
      </w:r>
      <w:bookmarkStart w:id="105" w:name="fnref22_9"/>
      <w:bookmarkEnd w:id="105"/>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106" w:name="fnref32_3"/>
      <w:bookmarkEnd w:id="106"/>
      <w:r>
        <w:fldChar w:fldCharType="begin"/>
      </w:r>
      <w:r>
        <w:instrText>HYPERLINK \l "fn32" \h</w:instrText>
      </w:r>
      <w:r>
        <w:fldChar w:fldCharType="separate"/>
      </w:r>
      <w:r>
        <w:rPr>
          <w:rFonts w:ascii="inter" w:eastAsia="inter" w:hAnsi="inter" w:cs="inter"/>
          <w:u w:val="single"/>
          <w:vertAlign w:val="superscript"/>
        </w:rPr>
        <w:t>[32]</w:t>
      </w:r>
      <w:r>
        <w:fldChar w:fldCharType="end"/>
      </w:r>
    </w:p>
    <w:p w14:paraId="0219DF9F" w14:textId="77777777" w:rsidR="00CB47B0" w:rsidRDefault="00000000">
      <w:pPr>
        <w:spacing w:after="210" w:line="360" w:lineRule="auto"/>
      </w:pPr>
      <w:r>
        <w:rPr>
          <w:rFonts w:ascii="inter" w:eastAsia="inter" w:hAnsi="inter" w:cs="inter"/>
          <w:color w:val="000000"/>
        </w:rPr>
        <w:t>The collaborative innovation approach prevalent in Scotland creates additional value for international partners. Scottish firms actively pursue partnerships with technology providers, research institutions, and end-users to accelerate innovation and reduce deployment risk. This collaborative model, combined with Scotland's established testing and demonstration facilities, provides Vietnam with access not just to individual technologies but to innovation ecosystems that can accelerate local capability development.</w:t>
      </w:r>
      <w:bookmarkStart w:id="107" w:name="fnref31_4"/>
      <w:bookmarkEnd w:id="107"/>
      <w:r>
        <w:fldChar w:fldCharType="begin"/>
      </w:r>
      <w:r>
        <w:instrText>HYPERLINK \l "fn31" \h</w:instrText>
      </w:r>
      <w:r>
        <w:fldChar w:fldCharType="separate"/>
      </w:r>
      <w:r>
        <w:rPr>
          <w:rFonts w:ascii="inter" w:eastAsia="inter" w:hAnsi="inter" w:cs="inter"/>
          <w:u w:val="single"/>
          <w:vertAlign w:val="superscript"/>
        </w:rPr>
        <w:t>[31]</w:t>
      </w:r>
      <w:r>
        <w:fldChar w:fldCharType="end"/>
      </w:r>
      <w:bookmarkStart w:id="108" w:name="fnref32_4"/>
      <w:bookmarkEnd w:id="108"/>
      <w:r>
        <w:fldChar w:fldCharType="begin"/>
      </w:r>
      <w:r>
        <w:instrText>HYPERLINK \l "fn32" \h</w:instrText>
      </w:r>
      <w:r>
        <w:fldChar w:fldCharType="separate"/>
      </w:r>
      <w:r>
        <w:rPr>
          <w:rFonts w:ascii="inter" w:eastAsia="inter" w:hAnsi="inter" w:cs="inter"/>
          <w:u w:val="single"/>
          <w:vertAlign w:val="superscript"/>
        </w:rPr>
        <w:t>[32]</w:t>
      </w:r>
      <w:r>
        <w:fldChar w:fldCharType="end"/>
      </w:r>
    </w:p>
    <w:p w14:paraId="35A47555" w14:textId="77777777" w:rsidR="00CB47B0" w:rsidRDefault="00000000" w:rsidP="00A460CE">
      <w:pPr>
        <w:pStyle w:val="Heading1"/>
      </w:pPr>
      <w:bookmarkStart w:id="109" w:name="sector_specific_opportunities_for_5f484c"/>
      <w:r>
        <w:rPr>
          <w:rFonts w:eastAsia="inter"/>
        </w:rPr>
        <w:t>Sector-Specific Opportunities for North East Scotland Companies</w:t>
      </w:r>
      <w:bookmarkEnd w:id="109"/>
    </w:p>
    <w:p w14:paraId="01361BEC" w14:textId="77777777" w:rsidR="00CB47B0" w:rsidRDefault="00000000">
      <w:pPr>
        <w:spacing w:before="315" w:after="105" w:line="360" w:lineRule="auto"/>
        <w:ind w:left="-30"/>
      </w:pPr>
      <w:bookmarkStart w:id="110" w:name="offshore_wind_foundation_installa_2f28e8"/>
      <w:r>
        <w:rPr>
          <w:rFonts w:ascii="inter" w:eastAsia="inter" w:hAnsi="inter" w:cs="inter"/>
          <w:b/>
          <w:color w:val="000000"/>
          <w:sz w:val="24"/>
        </w:rPr>
        <w:t>Offshore Wind: Foundation, Installation, and Operations</w:t>
      </w:r>
      <w:bookmarkEnd w:id="110"/>
    </w:p>
    <w:p w14:paraId="13D9CF48" w14:textId="77777777" w:rsidR="00CB47B0" w:rsidRDefault="00000000">
      <w:pPr>
        <w:spacing w:after="210" w:line="360" w:lineRule="auto"/>
      </w:pPr>
      <w:r>
        <w:rPr>
          <w:rFonts w:ascii="inter" w:eastAsia="inter" w:hAnsi="inter" w:cs="inter"/>
          <w:color w:val="000000"/>
        </w:rPr>
        <w:t>Offshore wind represents the largest single opportunity for North East Scotland companies in Vietnam's low-carbon energy transition. With PDP8 targeting 6 GW of offshore wind by 2030 and 70-91 GW by 2050, and projects worth tens of billions of dollars in the development pipeline, the scale of opportunity is substantial. Major projects include the 3.4 GW Thang Long project ($11.9 billion), the 3.5 GW La Gan project, the 6 GW Can Gio project ($16 billion), and the 3.9 GW Hai Phong project.</w:t>
      </w:r>
      <w:bookmarkStart w:id="111" w:name="fnref40"/>
      <w:bookmarkEnd w:id="111"/>
      <w:r>
        <w:fldChar w:fldCharType="begin"/>
      </w:r>
      <w:r>
        <w:instrText>HYPERLINK \l "fn40" \h</w:instrText>
      </w:r>
      <w:r>
        <w:fldChar w:fldCharType="separate"/>
      </w:r>
      <w:r>
        <w:rPr>
          <w:rFonts w:ascii="inter" w:eastAsia="inter" w:hAnsi="inter" w:cs="inter"/>
          <w:u w:val="single"/>
          <w:vertAlign w:val="superscript"/>
        </w:rPr>
        <w:t>[40]</w:t>
      </w:r>
      <w:r>
        <w:fldChar w:fldCharType="end"/>
      </w:r>
      <w:bookmarkStart w:id="112" w:name="fnref41"/>
      <w:bookmarkEnd w:id="112"/>
      <w:r>
        <w:fldChar w:fldCharType="begin"/>
      </w:r>
      <w:r>
        <w:instrText>HYPERLINK \l "fn41" \h</w:instrText>
      </w:r>
      <w:r>
        <w:fldChar w:fldCharType="separate"/>
      </w:r>
      <w:r>
        <w:rPr>
          <w:rFonts w:ascii="inter" w:eastAsia="inter" w:hAnsi="inter" w:cs="inter"/>
          <w:u w:val="single"/>
          <w:vertAlign w:val="superscript"/>
        </w:rPr>
        <w:t>[41]</w:t>
      </w:r>
      <w:r>
        <w:fldChar w:fldCharType="end"/>
      </w:r>
      <w:bookmarkStart w:id="113" w:name="fnref42"/>
      <w:bookmarkEnd w:id="113"/>
      <w:r>
        <w:fldChar w:fldCharType="begin"/>
      </w:r>
      <w:r>
        <w:instrText>HYPERLINK \l "fn42" \h</w:instrText>
      </w:r>
      <w:r>
        <w:fldChar w:fldCharType="separate"/>
      </w:r>
      <w:r>
        <w:rPr>
          <w:rFonts w:ascii="inter" w:eastAsia="inter" w:hAnsi="inter" w:cs="inter"/>
          <w:u w:val="single"/>
          <w:vertAlign w:val="superscript"/>
        </w:rPr>
        <w:t>[42]</w:t>
      </w:r>
      <w:r>
        <w:fldChar w:fldCharType="end"/>
      </w:r>
      <w:bookmarkStart w:id="114" w:name="fnref43"/>
      <w:bookmarkEnd w:id="114"/>
      <w:r>
        <w:fldChar w:fldCharType="begin"/>
      </w:r>
      <w:r>
        <w:instrText>HYPERLINK \l "fn43" \h</w:instrText>
      </w:r>
      <w:r>
        <w:fldChar w:fldCharType="separate"/>
      </w:r>
      <w:r>
        <w:rPr>
          <w:rFonts w:ascii="inter" w:eastAsia="inter" w:hAnsi="inter" w:cs="inter"/>
          <w:u w:val="single"/>
          <w:vertAlign w:val="superscript"/>
        </w:rPr>
        <w:t>[43]</w:t>
      </w:r>
      <w:r>
        <w:fldChar w:fldCharType="end"/>
      </w:r>
      <w:bookmarkStart w:id="115" w:name="fnref1_2"/>
      <w:bookmarkEnd w:id="115"/>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116" w:name="fnref2_4"/>
      <w:bookmarkEnd w:id="116"/>
      <w:r>
        <w:fldChar w:fldCharType="begin"/>
      </w:r>
      <w:r>
        <w:instrText>HYPERLINK \l "fn2" \h</w:instrText>
      </w:r>
      <w:r>
        <w:fldChar w:fldCharType="separate"/>
      </w:r>
      <w:r>
        <w:rPr>
          <w:rFonts w:ascii="inter" w:eastAsia="inter" w:hAnsi="inter" w:cs="inter"/>
          <w:u w:val="single"/>
          <w:vertAlign w:val="superscript"/>
        </w:rPr>
        <w:t>[2]</w:t>
      </w:r>
      <w:r>
        <w:fldChar w:fldCharType="end"/>
      </w:r>
    </w:p>
    <w:p w14:paraId="25F1A685" w14:textId="77777777" w:rsidR="00CB47B0" w:rsidRDefault="00000000">
      <w:pPr>
        <w:spacing w:after="210" w:line="360" w:lineRule="auto"/>
      </w:pPr>
      <w:r>
        <w:rPr>
          <w:rFonts w:ascii="inter" w:eastAsia="inter" w:hAnsi="inter" w:cs="inter"/>
          <w:color w:val="000000"/>
        </w:rPr>
        <w:t>Foundation engineering and fabrication represents a primary opportunity area. Vietnam's existing foundation manufacturing capability, while moderate, requires scaling for the larger 15-20 MW turbines anticipated in future projects. Scottish companies possess extensive experience in both fixed-bottom and floating foundation design, having worked on numerous North Sea projects with challenging soil conditions and harsh marine environments. The technical expertise in foundation design optimization, load analysis, and geotechnical assessment developed in the North Sea directly addresses Vietnam's needs as projects move from nearshore to deeper offshore waters.</w:t>
      </w:r>
      <w:bookmarkStart w:id="117" w:name="fnref37_1"/>
      <w:bookmarkEnd w:id="117"/>
      <w:r>
        <w:fldChar w:fldCharType="begin"/>
      </w:r>
      <w:r>
        <w:instrText>HYPERLINK \l "fn37" \h</w:instrText>
      </w:r>
      <w:r>
        <w:fldChar w:fldCharType="separate"/>
      </w:r>
      <w:r>
        <w:rPr>
          <w:rFonts w:ascii="inter" w:eastAsia="inter" w:hAnsi="inter" w:cs="inter"/>
          <w:u w:val="single"/>
          <w:vertAlign w:val="superscript"/>
        </w:rPr>
        <w:t>[37]</w:t>
      </w:r>
      <w:r>
        <w:fldChar w:fldCharType="end"/>
      </w:r>
      <w:bookmarkStart w:id="118" w:name="fnref17_4"/>
      <w:bookmarkEnd w:id="118"/>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119" w:name="fnref18_6"/>
      <w:bookmarkEnd w:id="119"/>
      <w:r>
        <w:fldChar w:fldCharType="begin"/>
      </w:r>
      <w:r>
        <w:instrText>HYPERLINK \l "fn18" \h</w:instrText>
      </w:r>
      <w:r>
        <w:fldChar w:fldCharType="separate"/>
      </w:r>
      <w:r>
        <w:rPr>
          <w:rFonts w:ascii="inter" w:eastAsia="inter" w:hAnsi="inter" w:cs="inter"/>
          <w:u w:val="single"/>
          <w:vertAlign w:val="superscript"/>
        </w:rPr>
        <w:t>[18]</w:t>
      </w:r>
      <w:r>
        <w:fldChar w:fldCharType="end"/>
      </w:r>
      <w:bookmarkStart w:id="120" w:name="fnref33_4"/>
      <w:bookmarkEnd w:id="120"/>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428E057C" w14:textId="77777777" w:rsidR="00CB47B0" w:rsidRDefault="00000000">
      <w:pPr>
        <w:spacing w:after="210" w:line="360" w:lineRule="auto"/>
      </w:pPr>
      <w:r>
        <w:rPr>
          <w:rFonts w:ascii="inter" w:eastAsia="inter" w:hAnsi="inter" w:cs="inter"/>
          <w:color w:val="000000"/>
        </w:rPr>
        <w:t>Offshore substation design and integration constitutes another high-value opportunity. PTSC is developing offshore substation capability through partnerships with international firms like Semco Maritime, as demonstrated in the Hai Long project in Taiwan. North East Scotland companies can provide offshore substation engineering services, electrical integration expertise, subsea cable connection systems, and topside equipment supply. The specialized subsea engineering capabilities that make Scotland a global leader translate directly to the complex electrical and structural challenges of offshore substations.</w:t>
      </w:r>
      <w:bookmarkStart w:id="121" w:name="fnref32_5"/>
      <w:bookmarkEnd w:id="121"/>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122" w:name="fnref18_7"/>
      <w:bookmarkEnd w:id="122"/>
      <w:r>
        <w:fldChar w:fldCharType="begin"/>
      </w:r>
      <w:r>
        <w:instrText>HYPERLINK \l "fn18" \h</w:instrText>
      </w:r>
      <w:r>
        <w:fldChar w:fldCharType="separate"/>
      </w:r>
      <w:r>
        <w:rPr>
          <w:rFonts w:ascii="inter" w:eastAsia="inter" w:hAnsi="inter" w:cs="inter"/>
          <w:u w:val="single"/>
          <w:vertAlign w:val="superscript"/>
        </w:rPr>
        <w:t>[18]</w:t>
      </w:r>
      <w:r>
        <w:fldChar w:fldCharType="end"/>
      </w:r>
      <w:bookmarkStart w:id="123" w:name="fnref31_5"/>
      <w:bookmarkEnd w:id="123"/>
      <w:r>
        <w:fldChar w:fldCharType="begin"/>
      </w:r>
      <w:r>
        <w:instrText>HYPERLINK \l "fn31" \h</w:instrText>
      </w:r>
      <w:r>
        <w:fldChar w:fldCharType="separate"/>
      </w:r>
      <w:r>
        <w:rPr>
          <w:rFonts w:ascii="inter" w:eastAsia="inter" w:hAnsi="inter" w:cs="inter"/>
          <w:u w:val="single"/>
          <w:vertAlign w:val="superscript"/>
        </w:rPr>
        <w:t>[31]</w:t>
      </w:r>
      <w:r>
        <w:fldChar w:fldCharType="end"/>
      </w:r>
    </w:p>
    <w:p w14:paraId="5D753AFA" w14:textId="77777777" w:rsidR="00CB47B0" w:rsidRDefault="00000000">
      <w:pPr>
        <w:spacing w:after="210" w:line="360" w:lineRule="auto"/>
      </w:pPr>
      <w:r>
        <w:rPr>
          <w:rFonts w:ascii="inter" w:eastAsia="inter" w:hAnsi="inter" w:cs="inter"/>
          <w:color w:val="000000"/>
        </w:rPr>
        <w:t>Installation services and vessel operations represent critical opportunities given Vietnam's severe vessel capacity constraints. With no domestic specialized installation vessels, Vietnamese projects depend entirely on international contractors. Scottish companies can provide installation vessel provision and management, marine operations planning and execution, heavy lift operations expertise, and subsea installation services. The extensive North Sea experience in challenging marine operations, including operation in typhoon-prone waters similar to Vietnam's offshore conditions, provides credibility and capability that Vietnamese developers require.</w:t>
      </w:r>
      <w:bookmarkStart w:id="124" w:name="fnref17_5"/>
      <w:bookmarkEnd w:id="124"/>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125" w:name="fnref22_10"/>
      <w:bookmarkEnd w:id="125"/>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126" w:name="fnref37_2"/>
      <w:bookmarkEnd w:id="126"/>
      <w:r>
        <w:fldChar w:fldCharType="begin"/>
      </w:r>
      <w:r>
        <w:instrText>HYPERLINK \l "fn37" \h</w:instrText>
      </w:r>
      <w:r>
        <w:fldChar w:fldCharType="separate"/>
      </w:r>
      <w:r>
        <w:rPr>
          <w:rFonts w:ascii="inter" w:eastAsia="inter" w:hAnsi="inter" w:cs="inter"/>
          <w:u w:val="single"/>
          <w:vertAlign w:val="superscript"/>
        </w:rPr>
        <w:t>[37]</w:t>
      </w:r>
      <w:r>
        <w:fldChar w:fldCharType="end"/>
      </w:r>
      <w:bookmarkStart w:id="127" w:name="fnref33_5"/>
      <w:bookmarkEnd w:id="127"/>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75647191" w14:textId="77777777" w:rsidR="00CB47B0" w:rsidRDefault="00000000">
      <w:pPr>
        <w:spacing w:after="210" w:line="360" w:lineRule="auto"/>
      </w:pPr>
      <w:r>
        <w:rPr>
          <w:rFonts w:ascii="inter" w:eastAsia="inter" w:hAnsi="inter" w:cs="inter"/>
          <w:color w:val="000000"/>
        </w:rPr>
        <w:t>Operations and maintenance services offer long-term revenue opportunities extending decades beyond initial project construction. Each offshore wind farm requires ongoing O&amp;M services including predictive and preventive maintenance, major component replacement, subsea cable inspection and repair, and offshore logistics coordination. North East Scotland's remote operations capabilities, developed through North Sea oil and gas operations, provide particular advantages for Vietnamese offshore wind farms located far from shore. Training services for Vietnamese technicians, establishing local O&amp;M bases, and deploying digital monitoring and optimization systems represent additional service opportunities leveraging Scottish expertise.</w:t>
      </w:r>
      <w:bookmarkStart w:id="128" w:name="fnref38_2"/>
      <w:bookmarkEnd w:id="128"/>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129" w:name="fnref21_5"/>
      <w:bookmarkEnd w:id="129"/>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130" w:name="fnref22_11"/>
      <w:bookmarkEnd w:id="130"/>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131" w:name="fnref31_6"/>
      <w:bookmarkEnd w:id="131"/>
      <w:r>
        <w:fldChar w:fldCharType="begin"/>
      </w:r>
      <w:r>
        <w:instrText>HYPERLINK \l "fn31" \h</w:instrText>
      </w:r>
      <w:r>
        <w:fldChar w:fldCharType="separate"/>
      </w:r>
      <w:r>
        <w:rPr>
          <w:rFonts w:ascii="inter" w:eastAsia="inter" w:hAnsi="inter" w:cs="inter"/>
          <w:u w:val="single"/>
          <w:vertAlign w:val="superscript"/>
        </w:rPr>
        <w:t>[31]</w:t>
      </w:r>
      <w:r>
        <w:fldChar w:fldCharType="end"/>
      </w:r>
    </w:p>
    <w:p w14:paraId="2965C555" w14:textId="77777777" w:rsidR="00CB47B0" w:rsidRDefault="00000000">
      <w:pPr>
        <w:spacing w:before="315" w:after="105" w:line="360" w:lineRule="auto"/>
        <w:ind w:left="-30"/>
      </w:pPr>
      <w:bookmarkStart w:id="132" w:name="ccus_engineering_feasibility_and_48e2d2"/>
      <w:r>
        <w:rPr>
          <w:rFonts w:ascii="inter" w:eastAsia="inter" w:hAnsi="inter" w:cs="inter"/>
          <w:b/>
          <w:color w:val="000000"/>
          <w:sz w:val="24"/>
        </w:rPr>
        <w:t>CCUS: Engineering, Feasibility, and Integration</w:t>
      </w:r>
      <w:bookmarkEnd w:id="132"/>
    </w:p>
    <w:p w14:paraId="405018E2" w14:textId="77777777" w:rsidR="00CB47B0" w:rsidRDefault="00000000">
      <w:pPr>
        <w:spacing w:after="210" w:line="360" w:lineRule="auto"/>
      </w:pPr>
      <w:r>
        <w:rPr>
          <w:rFonts w:ascii="inter" w:eastAsia="inter" w:hAnsi="inter" w:cs="inter"/>
          <w:color w:val="000000"/>
        </w:rPr>
        <w:t>Carbon capture, utilization, and storage represents an emerging opportunity sector in Vietnam with substantial potential for North East Scotland expertise. Vietnam's National Energy Masterplan targets carbon capture capacity of one million metric tons per year by 2040 and three to six million metric tons per year by 2050. The ongoing Black &amp; Veatch feasibility studies at Vung Ang 1, Song Hau 1, and Thai Binh 2 coal-fired power plants represent the country's first carbon capture assessments, with findings intended to shape the national CCUS roadmap and legal framework.</w:t>
      </w:r>
      <w:bookmarkStart w:id="133" w:name="fnref24_1"/>
      <w:bookmarkEnd w:id="133"/>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134" w:name="fnref44"/>
      <w:bookmarkEnd w:id="134"/>
      <w:r>
        <w:fldChar w:fldCharType="begin"/>
      </w:r>
      <w:r>
        <w:instrText>HYPERLINK \l "fn44" \h</w:instrText>
      </w:r>
      <w:r>
        <w:fldChar w:fldCharType="separate"/>
      </w:r>
      <w:r>
        <w:rPr>
          <w:rFonts w:ascii="inter" w:eastAsia="inter" w:hAnsi="inter" w:cs="inter"/>
          <w:u w:val="single"/>
          <w:vertAlign w:val="superscript"/>
        </w:rPr>
        <w:t>[44]</w:t>
      </w:r>
      <w:r>
        <w:fldChar w:fldCharType="end"/>
      </w:r>
      <w:bookmarkStart w:id="135" w:name="fnref23_1"/>
      <w:bookmarkEnd w:id="135"/>
      <w:r>
        <w:fldChar w:fldCharType="begin"/>
      </w:r>
      <w:r>
        <w:instrText>HYPERLINK \l "fn23" \h</w:instrText>
      </w:r>
      <w:r>
        <w:fldChar w:fldCharType="separate"/>
      </w:r>
      <w:r>
        <w:rPr>
          <w:rFonts w:ascii="inter" w:eastAsia="inter" w:hAnsi="inter" w:cs="inter"/>
          <w:u w:val="single"/>
          <w:vertAlign w:val="superscript"/>
        </w:rPr>
        <w:t>[23]</w:t>
      </w:r>
      <w:r>
        <w:fldChar w:fldCharType="end"/>
      </w:r>
    </w:p>
    <w:p w14:paraId="5BD7691F" w14:textId="77777777" w:rsidR="00CB47B0" w:rsidRDefault="00000000">
      <w:pPr>
        <w:spacing w:after="210" w:line="360" w:lineRule="auto"/>
      </w:pPr>
      <w:r>
        <w:rPr>
          <w:rFonts w:ascii="inter" w:eastAsia="inter" w:hAnsi="inter" w:cs="inter"/>
          <w:color w:val="000000"/>
        </w:rPr>
        <w:t>Front-end engineering and feasibility study services constitute the immediate opportunity as Vietnam develops its CCUS strategy. North East Scotland companies possess extensive CCUS expertise, with facilities like the Acorn CCS project in Scotland demonstrating practical implementation experience. Services include carbon capture technology selection and assessment, feasibility studies for specific power plants and industrial facilities, integration studies for retrofitting existing plants, and techno-economic analysis and optimization. The Black &amp; Veatch study model—assessing carbon capture technology landscape, evaluating and proposing suitable technology for each facility, and developing preliminary conceptual designs—provides a template for Scottish companies to offer similar services across Vietnam's industrial and power sectors.</w:t>
      </w:r>
      <w:bookmarkStart w:id="136" w:name="fnref44_1"/>
      <w:bookmarkEnd w:id="136"/>
      <w:r>
        <w:fldChar w:fldCharType="begin"/>
      </w:r>
      <w:r>
        <w:instrText>HYPERLINK \l "fn44" \h</w:instrText>
      </w:r>
      <w:r>
        <w:fldChar w:fldCharType="separate"/>
      </w:r>
      <w:r>
        <w:rPr>
          <w:rFonts w:ascii="inter" w:eastAsia="inter" w:hAnsi="inter" w:cs="inter"/>
          <w:u w:val="single"/>
          <w:vertAlign w:val="superscript"/>
        </w:rPr>
        <w:t>[44]</w:t>
      </w:r>
      <w:r>
        <w:fldChar w:fldCharType="end"/>
      </w:r>
      <w:bookmarkStart w:id="137" w:name="fnref24_2"/>
      <w:bookmarkEnd w:id="137"/>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138" w:name="fnref33_6"/>
      <w:bookmarkEnd w:id="138"/>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71E8ADFD" w14:textId="77777777" w:rsidR="00CB47B0" w:rsidRDefault="00000000">
      <w:pPr>
        <w:spacing w:after="210" w:line="360" w:lineRule="auto"/>
      </w:pPr>
      <w:r>
        <w:rPr>
          <w:rFonts w:ascii="inter" w:eastAsia="inter" w:hAnsi="inter" w:cs="inter"/>
          <w:color w:val="000000"/>
        </w:rPr>
        <w:t>CO2 transport and storage infrastructure development represents medium-term opportunities as Vietnam's CCUS framework matures. Vietnam Petroleum Institute studies show the country has opportunity to develop a complete CCUS chain due to potential carbon storage sites, particularly in depleted oil and gas reservoirs and saline aquifers. Scottish expertise in subsea pipeline design and installation, CO2 injection well design and drilling, reservoir characterization and monitoring, and offshore platform modifications for CO2 injection directly addresses these development needs. The North Sea's emergence as a leading CCUS deployment region provides Scottish companies with cutting-edge experience applicable to Vietnam's geology and offshore conditions.</w:t>
      </w:r>
      <w:bookmarkStart w:id="139" w:name="fnref45"/>
      <w:bookmarkEnd w:id="139"/>
      <w:r>
        <w:fldChar w:fldCharType="begin"/>
      </w:r>
      <w:r>
        <w:instrText>HYPERLINK \l "fn45" \h</w:instrText>
      </w:r>
      <w:r>
        <w:fldChar w:fldCharType="separate"/>
      </w:r>
      <w:r>
        <w:rPr>
          <w:rFonts w:ascii="inter" w:eastAsia="inter" w:hAnsi="inter" w:cs="inter"/>
          <w:u w:val="single"/>
          <w:vertAlign w:val="superscript"/>
        </w:rPr>
        <w:t>[45]</w:t>
      </w:r>
      <w:r>
        <w:fldChar w:fldCharType="end"/>
      </w:r>
      <w:bookmarkStart w:id="140" w:name="fnref22_12"/>
      <w:bookmarkEnd w:id="140"/>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141" w:name="fnref32_6"/>
      <w:bookmarkEnd w:id="141"/>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142" w:name="fnref33_7"/>
      <w:bookmarkEnd w:id="142"/>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0667BA0D" w14:textId="77777777" w:rsidR="00CB47B0" w:rsidRDefault="00000000">
      <w:pPr>
        <w:spacing w:after="210" w:line="360" w:lineRule="auto"/>
      </w:pPr>
      <w:r>
        <w:rPr>
          <w:rFonts w:ascii="inter" w:eastAsia="inter" w:hAnsi="inter" w:cs="inter"/>
          <w:color w:val="000000"/>
        </w:rPr>
        <w:t>Industrial CCUS applications beyond power generation offer additional market segments. Vietnam's National Energy Masterplan encourages CCUS solutions at industrial production facilities including cement plants, steel production facilities, chemical manufacturing, and petrochemical refineries. Scottish companies can provide process integration studies, capture system design and supply, and carbon utilization technology development. The expertise in industrial process optimization developed through decades of North Sea operations translates to these complex industrial CCUS applications.</w:t>
      </w:r>
      <w:bookmarkStart w:id="143" w:name="fnref24_3"/>
      <w:bookmarkEnd w:id="143"/>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144" w:name="fnref22_13"/>
      <w:bookmarkEnd w:id="144"/>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145" w:name="fnref32_7"/>
      <w:bookmarkEnd w:id="145"/>
      <w:r>
        <w:fldChar w:fldCharType="begin"/>
      </w:r>
      <w:r>
        <w:instrText>HYPERLINK \l "fn32" \h</w:instrText>
      </w:r>
      <w:r>
        <w:fldChar w:fldCharType="separate"/>
      </w:r>
      <w:r>
        <w:rPr>
          <w:rFonts w:ascii="inter" w:eastAsia="inter" w:hAnsi="inter" w:cs="inter"/>
          <w:u w:val="single"/>
          <w:vertAlign w:val="superscript"/>
        </w:rPr>
        <w:t>[32]</w:t>
      </w:r>
      <w:r>
        <w:fldChar w:fldCharType="end"/>
      </w:r>
    </w:p>
    <w:p w14:paraId="54593101" w14:textId="77777777" w:rsidR="00CB47B0" w:rsidRDefault="00000000">
      <w:pPr>
        <w:spacing w:before="315" w:after="105" w:line="360" w:lineRule="auto"/>
        <w:ind w:left="-30"/>
      </w:pPr>
      <w:bookmarkStart w:id="146" w:name="green_hydrogen_and_ammonia_integr_260161"/>
      <w:r>
        <w:rPr>
          <w:rFonts w:ascii="inter" w:eastAsia="inter" w:hAnsi="inter" w:cs="inter"/>
          <w:b/>
          <w:color w:val="000000"/>
          <w:sz w:val="24"/>
        </w:rPr>
        <w:t>Green Hydrogen and Ammonia: Integration and Process Engineering</w:t>
      </w:r>
      <w:bookmarkEnd w:id="146"/>
    </w:p>
    <w:p w14:paraId="7CB9DA9C" w14:textId="77777777" w:rsidR="00CB47B0" w:rsidRDefault="00000000">
      <w:pPr>
        <w:spacing w:after="210" w:line="360" w:lineRule="auto"/>
      </w:pPr>
      <w:r>
        <w:rPr>
          <w:rFonts w:ascii="inter" w:eastAsia="inter" w:hAnsi="inter" w:cs="inter"/>
          <w:color w:val="000000"/>
        </w:rPr>
        <w:t xml:space="preserve">Green hydrogen and ammonia production represents a rapidly developing opportunity sector, with Vietnam positioning itself as a potential regional hub for green hydrogen export. PDP8 mentions green hydrogen and green ammonia for the first time as solutions to replace and move away from fossil fuels, with 240 GW capacity allocated for hydrogen and ammonia production. The Green Solutions (TGS) leads development with two major projects in Tra Vinh and Ben Tre provinces, each featuring 240 MW </w:t>
      </w:r>
      <w:proofErr w:type="spellStart"/>
      <w:r>
        <w:rPr>
          <w:rFonts w:ascii="inter" w:eastAsia="inter" w:hAnsi="inter" w:cs="inter"/>
          <w:color w:val="000000"/>
        </w:rPr>
        <w:t>electrolyzer</w:t>
      </w:r>
      <w:proofErr w:type="spellEnd"/>
      <w:r>
        <w:rPr>
          <w:rFonts w:ascii="inter" w:eastAsia="inter" w:hAnsi="inter" w:cs="inter"/>
          <w:color w:val="000000"/>
        </w:rPr>
        <w:t xml:space="preserve"> capacity, and plans for six additional projects targeting total output of 500 </w:t>
      </w:r>
      <w:proofErr w:type="spellStart"/>
      <w:r>
        <w:rPr>
          <w:rFonts w:ascii="inter" w:eastAsia="inter" w:hAnsi="inter" w:cs="inter"/>
          <w:color w:val="000000"/>
        </w:rPr>
        <w:t>kilotonnes</w:t>
      </w:r>
      <w:proofErr w:type="spellEnd"/>
      <w:r>
        <w:rPr>
          <w:rFonts w:ascii="inter" w:eastAsia="inter" w:hAnsi="inter" w:cs="inter"/>
          <w:color w:val="000000"/>
        </w:rPr>
        <w:t xml:space="preserve"> green hydrogen and 3 million </w:t>
      </w:r>
      <w:proofErr w:type="spellStart"/>
      <w:r>
        <w:rPr>
          <w:rFonts w:ascii="inter" w:eastAsia="inter" w:hAnsi="inter" w:cs="inter"/>
          <w:color w:val="000000"/>
        </w:rPr>
        <w:t>tonnes</w:t>
      </w:r>
      <w:proofErr w:type="spellEnd"/>
      <w:r>
        <w:rPr>
          <w:rFonts w:ascii="inter" w:eastAsia="inter" w:hAnsi="inter" w:cs="inter"/>
          <w:color w:val="000000"/>
        </w:rPr>
        <w:t xml:space="preserve"> ammonia annually before 2030.</w:t>
      </w:r>
      <w:bookmarkStart w:id="147" w:name="fnref27_1"/>
      <w:bookmarkEnd w:id="147"/>
      <w:r>
        <w:fldChar w:fldCharType="begin"/>
      </w:r>
      <w:r>
        <w:instrText>HYPERLINK \l "fn27" \h</w:instrText>
      </w:r>
      <w:r>
        <w:fldChar w:fldCharType="separate"/>
      </w:r>
      <w:r>
        <w:rPr>
          <w:rFonts w:ascii="inter" w:eastAsia="inter" w:hAnsi="inter" w:cs="inter"/>
          <w:u w:val="single"/>
          <w:vertAlign w:val="superscript"/>
        </w:rPr>
        <w:t>[27]</w:t>
      </w:r>
      <w:r>
        <w:fldChar w:fldCharType="end"/>
      </w:r>
      <w:bookmarkStart w:id="148" w:name="fnref1_3"/>
      <w:bookmarkEnd w:id="148"/>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149" w:name="fnref25_1"/>
      <w:bookmarkEnd w:id="149"/>
      <w:r>
        <w:fldChar w:fldCharType="begin"/>
      </w:r>
      <w:r>
        <w:instrText>HYPERLINK \l "fn25" \h</w:instrText>
      </w:r>
      <w:r>
        <w:fldChar w:fldCharType="separate"/>
      </w:r>
      <w:r>
        <w:rPr>
          <w:rFonts w:ascii="inter" w:eastAsia="inter" w:hAnsi="inter" w:cs="inter"/>
          <w:u w:val="single"/>
          <w:vertAlign w:val="superscript"/>
        </w:rPr>
        <w:t>[25]</w:t>
      </w:r>
      <w:r>
        <w:fldChar w:fldCharType="end"/>
      </w:r>
    </w:p>
    <w:p w14:paraId="01049E6B" w14:textId="77777777" w:rsidR="00CB47B0" w:rsidRDefault="00000000">
      <w:pPr>
        <w:spacing w:after="210" w:line="360" w:lineRule="auto"/>
      </w:pPr>
      <w:r>
        <w:rPr>
          <w:rFonts w:ascii="inter" w:eastAsia="inter" w:hAnsi="inter" w:cs="inter"/>
          <w:color w:val="000000"/>
        </w:rPr>
        <w:t xml:space="preserve">Renewable energy integration represents a critical capability requirement for green hydrogen projects. The Tra Vinh project exemplifies the complex integration challenge, combining 600 MW of offshore wind, onshore solar, and battery energy storage to power 240 MW of </w:t>
      </w:r>
      <w:proofErr w:type="spellStart"/>
      <w:r>
        <w:rPr>
          <w:rFonts w:ascii="inter" w:eastAsia="inter" w:hAnsi="inter" w:cs="inter"/>
          <w:color w:val="000000"/>
        </w:rPr>
        <w:t>electrolyzers</w:t>
      </w:r>
      <w:proofErr w:type="spellEnd"/>
      <w:r>
        <w:rPr>
          <w:rFonts w:ascii="inter" w:eastAsia="inter" w:hAnsi="inter" w:cs="inter"/>
          <w:color w:val="000000"/>
        </w:rPr>
        <w:t xml:space="preserve"> producing 182,500 tons of renewable ammonia per year. North East Scotland companies can provide renewable energy resource assessment and optimization, hybrid renewable energy system design, grid connection and power quality management, and battery energy storage integration. The experience integrating intermittent renewable generation with baseload demand developed through Scottish offshore wind projects directly addresses Vietnam's green hydrogen integration challenges.</w:t>
      </w:r>
      <w:bookmarkStart w:id="150" w:name="fnref25_2"/>
      <w:bookmarkEnd w:id="150"/>
      <w:r>
        <w:fldChar w:fldCharType="begin"/>
      </w:r>
      <w:r>
        <w:instrText>HYPERLINK \l "fn25" \h</w:instrText>
      </w:r>
      <w:r>
        <w:fldChar w:fldCharType="separate"/>
      </w:r>
      <w:r>
        <w:rPr>
          <w:rFonts w:ascii="inter" w:eastAsia="inter" w:hAnsi="inter" w:cs="inter"/>
          <w:u w:val="single"/>
          <w:vertAlign w:val="superscript"/>
        </w:rPr>
        <w:t>[25]</w:t>
      </w:r>
      <w:r>
        <w:fldChar w:fldCharType="end"/>
      </w:r>
      <w:bookmarkStart w:id="151" w:name="fnref32_8"/>
      <w:bookmarkEnd w:id="151"/>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152" w:name="fnref33_8"/>
      <w:bookmarkEnd w:id="152"/>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293E1935" w14:textId="77777777" w:rsidR="00CB47B0" w:rsidRDefault="00000000">
      <w:pPr>
        <w:spacing w:after="210" w:line="360" w:lineRule="auto"/>
      </w:pPr>
      <w:r>
        <w:rPr>
          <w:rFonts w:ascii="inter" w:eastAsia="inter" w:hAnsi="inter" w:cs="inter"/>
          <w:color w:val="000000"/>
        </w:rPr>
        <w:t xml:space="preserve">Process engineering and plant design services offer opportunities across the hydrogen production value chain. While </w:t>
      </w:r>
      <w:proofErr w:type="spellStart"/>
      <w:r>
        <w:rPr>
          <w:rFonts w:ascii="inter" w:eastAsia="inter" w:hAnsi="inter" w:cs="inter"/>
          <w:color w:val="000000"/>
        </w:rPr>
        <w:t>electrolyzer</w:t>
      </w:r>
      <w:proofErr w:type="spellEnd"/>
      <w:r>
        <w:rPr>
          <w:rFonts w:ascii="inter" w:eastAsia="inter" w:hAnsi="inter" w:cs="inter"/>
          <w:color w:val="000000"/>
        </w:rPr>
        <w:t xml:space="preserve"> supply remains dominated by specialized manufacturers like John Cockerill, Scottish companies can provide balance of plant engineering, hydrogen purification and compression systems, ammonia synthesis plant design and integration, and safety and process control systems. The deep process engineering expertise developed in Scotland's oil and gas sector, including hydrogen handling experience from refinery operations, translates effectively to green hydrogen and ammonia production.</w:t>
      </w:r>
      <w:bookmarkStart w:id="153" w:name="fnref26_1"/>
      <w:bookmarkEnd w:id="153"/>
      <w:r>
        <w:fldChar w:fldCharType="begin"/>
      </w:r>
      <w:r>
        <w:instrText>HYPERLINK \l "fn26" \h</w:instrText>
      </w:r>
      <w:r>
        <w:fldChar w:fldCharType="separate"/>
      </w:r>
      <w:r>
        <w:rPr>
          <w:rFonts w:ascii="inter" w:eastAsia="inter" w:hAnsi="inter" w:cs="inter"/>
          <w:u w:val="single"/>
          <w:vertAlign w:val="superscript"/>
        </w:rPr>
        <w:t>[26]</w:t>
      </w:r>
      <w:r>
        <w:fldChar w:fldCharType="end"/>
      </w:r>
      <w:bookmarkStart w:id="154" w:name="fnref25_3"/>
      <w:bookmarkEnd w:id="154"/>
      <w:r>
        <w:fldChar w:fldCharType="begin"/>
      </w:r>
      <w:r>
        <w:instrText>HYPERLINK \l "fn25" \h</w:instrText>
      </w:r>
      <w:r>
        <w:fldChar w:fldCharType="separate"/>
      </w:r>
      <w:r>
        <w:rPr>
          <w:rFonts w:ascii="inter" w:eastAsia="inter" w:hAnsi="inter" w:cs="inter"/>
          <w:u w:val="single"/>
          <w:vertAlign w:val="superscript"/>
        </w:rPr>
        <w:t>[25]</w:t>
      </w:r>
      <w:r>
        <w:fldChar w:fldCharType="end"/>
      </w:r>
      <w:bookmarkStart w:id="155" w:name="fnref22_14"/>
      <w:bookmarkEnd w:id="155"/>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156" w:name="fnref32_9"/>
      <w:bookmarkEnd w:id="156"/>
      <w:r>
        <w:fldChar w:fldCharType="begin"/>
      </w:r>
      <w:r>
        <w:instrText>HYPERLINK \l "fn32" \h</w:instrText>
      </w:r>
      <w:r>
        <w:fldChar w:fldCharType="separate"/>
      </w:r>
      <w:r>
        <w:rPr>
          <w:rFonts w:ascii="inter" w:eastAsia="inter" w:hAnsi="inter" w:cs="inter"/>
          <w:u w:val="single"/>
          <w:vertAlign w:val="superscript"/>
        </w:rPr>
        <w:t>[32]</w:t>
      </w:r>
      <w:r>
        <w:fldChar w:fldCharType="end"/>
      </w:r>
    </w:p>
    <w:p w14:paraId="4E59D1C8" w14:textId="77777777" w:rsidR="00CB47B0" w:rsidRDefault="00000000">
      <w:pPr>
        <w:spacing w:after="210" w:line="360" w:lineRule="auto"/>
      </w:pPr>
      <w:r>
        <w:rPr>
          <w:rFonts w:ascii="inter" w:eastAsia="inter" w:hAnsi="inter" w:cs="inter"/>
          <w:color w:val="000000"/>
        </w:rPr>
        <w:t xml:space="preserve">Ammonia export infrastructure development creates additional opportunities as Vietnam develops capacity to export green ammonia to markets like Japan, South Korea, and Singapore. North East Scotland's port development expertise, including experience with Aberdeen </w:t>
      </w:r>
      <w:proofErr w:type="spellStart"/>
      <w:r>
        <w:rPr>
          <w:rFonts w:ascii="inter" w:eastAsia="inter" w:hAnsi="inter" w:cs="inter"/>
          <w:color w:val="000000"/>
        </w:rPr>
        <w:t>Harbour's</w:t>
      </w:r>
      <w:proofErr w:type="spellEnd"/>
      <w:r>
        <w:rPr>
          <w:rFonts w:ascii="inter" w:eastAsia="inter" w:hAnsi="inter" w:cs="inter"/>
          <w:color w:val="000000"/>
        </w:rPr>
        <w:t xml:space="preserve"> renewable energy infrastructure development, provides relevant capabilities for Vietnamese ammonia export terminals. Services include ammonia storage tank design and construction, marine loading facilities engineering, and port logistics optimization. TGS's strategic positioning of projects near deep-sea areas to facilitate exports highlights the importance of this export infrastructure dimension.</w:t>
      </w:r>
      <w:bookmarkStart w:id="157" w:name="fnref27_2"/>
      <w:bookmarkEnd w:id="157"/>
      <w:r>
        <w:fldChar w:fldCharType="begin"/>
      </w:r>
      <w:r>
        <w:instrText>HYPERLINK \l "fn27" \h</w:instrText>
      </w:r>
      <w:r>
        <w:fldChar w:fldCharType="separate"/>
      </w:r>
      <w:r>
        <w:rPr>
          <w:rFonts w:ascii="inter" w:eastAsia="inter" w:hAnsi="inter" w:cs="inter"/>
          <w:u w:val="single"/>
          <w:vertAlign w:val="superscript"/>
        </w:rPr>
        <w:t>[27]</w:t>
      </w:r>
      <w:r>
        <w:fldChar w:fldCharType="end"/>
      </w:r>
      <w:bookmarkStart w:id="158" w:name="fnref22_15"/>
      <w:bookmarkEnd w:id="158"/>
      <w:r>
        <w:fldChar w:fldCharType="begin"/>
      </w:r>
      <w:r>
        <w:instrText>HYPERLINK \l "fn22" \h</w:instrText>
      </w:r>
      <w:r>
        <w:fldChar w:fldCharType="separate"/>
      </w:r>
      <w:r>
        <w:rPr>
          <w:rFonts w:ascii="inter" w:eastAsia="inter" w:hAnsi="inter" w:cs="inter"/>
          <w:u w:val="single"/>
          <w:vertAlign w:val="superscript"/>
        </w:rPr>
        <w:t>[22]</w:t>
      </w:r>
      <w:r>
        <w:fldChar w:fldCharType="end"/>
      </w:r>
      <w:bookmarkStart w:id="159" w:name="fnref38_3"/>
      <w:bookmarkEnd w:id="159"/>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160" w:name="fnref33_9"/>
      <w:bookmarkEnd w:id="160"/>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66D1CE97" w14:textId="77777777" w:rsidR="00CB47B0" w:rsidRDefault="00000000">
      <w:pPr>
        <w:spacing w:before="315" w:after="105" w:line="360" w:lineRule="auto"/>
        <w:ind w:left="-30"/>
      </w:pPr>
      <w:bookmarkStart w:id="161" w:name="decommissioning_platform_removal_111ce7"/>
      <w:r>
        <w:rPr>
          <w:rFonts w:ascii="inter" w:eastAsia="inter" w:hAnsi="inter" w:cs="inter"/>
          <w:b/>
          <w:color w:val="000000"/>
          <w:sz w:val="24"/>
        </w:rPr>
        <w:t>Decommissioning: Platform Removal and Environmental Remediation</w:t>
      </w:r>
      <w:bookmarkEnd w:id="161"/>
    </w:p>
    <w:p w14:paraId="19EF72CA" w14:textId="77777777" w:rsidR="00CB47B0" w:rsidRDefault="00000000">
      <w:pPr>
        <w:spacing w:after="210" w:line="360" w:lineRule="auto"/>
      </w:pPr>
      <w:r>
        <w:rPr>
          <w:rFonts w:ascii="inter" w:eastAsia="inter" w:hAnsi="inter" w:cs="inter"/>
          <w:color w:val="000000"/>
        </w:rPr>
        <w:t>Offshore oil and gas decommissioning represents an immediate and substantial opportunity as Vietnam's petroleum infrastructure ages and fields deplete. The Song Doc platform decommissioning, Vietnam's first major offshore decommissioning project following production cessation in February 2024, demonstrates the emerging market. With numerous offshore platforms in Vietnam's Nam Con Son Basin and other fields approaching end-of-life, the decommissioning pipeline extends over multiple decades.</w:t>
      </w:r>
      <w:bookmarkStart w:id="162" w:name="fnref36_1"/>
      <w:bookmarkEnd w:id="162"/>
      <w:r>
        <w:fldChar w:fldCharType="begin"/>
      </w:r>
      <w:r>
        <w:instrText>HYPERLINK \l "fn36" \h</w:instrText>
      </w:r>
      <w:r>
        <w:fldChar w:fldCharType="separate"/>
      </w:r>
      <w:r>
        <w:rPr>
          <w:rFonts w:ascii="inter" w:eastAsia="inter" w:hAnsi="inter" w:cs="inter"/>
          <w:u w:val="single"/>
          <w:vertAlign w:val="superscript"/>
        </w:rPr>
        <w:t>[36]</w:t>
      </w:r>
      <w:r>
        <w:fldChar w:fldCharType="end"/>
      </w:r>
      <w:bookmarkStart w:id="163" w:name="fnref35_1"/>
      <w:bookmarkEnd w:id="163"/>
      <w:r>
        <w:fldChar w:fldCharType="begin"/>
      </w:r>
      <w:r>
        <w:instrText>HYPERLINK \l "fn35" \h</w:instrText>
      </w:r>
      <w:r>
        <w:fldChar w:fldCharType="separate"/>
      </w:r>
      <w:r>
        <w:rPr>
          <w:rFonts w:ascii="inter" w:eastAsia="inter" w:hAnsi="inter" w:cs="inter"/>
          <w:u w:val="single"/>
          <w:vertAlign w:val="superscript"/>
        </w:rPr>
        <w:t>[35]</w:t>
      </w:r>
      <w:r>
        <w:fldChar w:fldCharType="end"/>
      </w:r>
    </w:p>
    <w:p w14:paraId="1213737F" w14:textId="77777777" w:rsidR="00CB47B0" w:rsidRDefault="00000000">
      <w:pPr>
        <w:spacing w:after="210" w:line="360" w:lineRule="auto"/>
      </w:pPr>
      <w:r>
        <w:rPr>
          <w:rFonts w:ascii="inter" w:eastAsia="inter" w:hAnsi="inter" w:cs="inter"/>
          <w:color w:val="000000"/>
        </w:rPr>
        <w:t xml:space="preserve">Platform removal and disposal services constitute the core decommissioning opportunity. North East Scotland companies have successfully decommissioned over 400,000 tons of oil and gas infrastructure from the North Sea, including more than 45 offshore installations. Applicable services include topsides removal and disposal, jacket and foundation removal, subsea infrastructure recovery, and onshore dismantling and recycling. The experience handling large structures in challenging offshore conditions, including the decommissioning of the 12,000-tonne Buchan Alpha Floating Production Unit at Scotland's Dales </w:t>
      </w:r>
      <w:proofErr w:type="spellStart"/>
      <w:r>
        <w:rPr>
          <w:rFonts w:ascii="inter" w:eastAsia="inter" w:hAnsi="inter" w:cs="inter"/>
          <w:color w:val="000000"/>
        </w:rPr>
        <w:t>Voe</w:t>
      </w:r>
      <w:proofErr w:type="spellEnd"/>
      <w:r>
        <w:rPr>
          <w:rFonts w:ascii="inter" w:eastAsia="inter" w:hAnsi="inter" w:cs="inter"/>
          <w:color w:val="000000"/>
        </w:rPr>
        <w:t xml:space="preserve"> facility, demonstrates capability to manage Vietnam's largest platforms.</w:t>
      </w:r>
      <w:bookmarkStart w:id="164" w:name="fnref46"/>
      <w:bookmarkEnd w:id="164"/>
      <w:r>
        <w:fldChar w:fldCharType="begin"/>
      </w:r>
      <w:r>
        <w:instrText>HYPERLINK \l "fn46" \h</w:instrText>
      </w:r>
      <w:r>
        <w:fldChar w:fldCharType="separate"/>
      </w:r>
      <w:r>
        <w:rPr>
          <w:rFonts w:ascii="inter" w:eastAsia="inter" w:hAnsi="inter" w:cs="inter"/>
          <w:u w:val="single"/>
          <w:vertAlign w:val="superscript"/>
        </w:rPr>
        <w:t>[46]</w:t>
      </w:r>
      <w:r>
        <w:fldChar w:fldCharType="end"/>
      </w:r>
      <w:bookmarkStart w:id="165" w:name="fnref22_16"/>
      <w:bookmarkEnd w:id="165"/>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0F4286E3" w14:textId="77777777" w:rsidR="00CB47B0" w:rsidRDefault="00000000">
      <w:pPr>
        <w:spacing w:after="210" w:line="360" w:lineRule="auto"/>
      </w:pPr>
      <w:r>
        <w:rPr>
          <w:rFonts w:ascii="inter" w:eastAsia="inter" w:hAnsi="inter" w:cs="inter"/>
          <w:color w:val="000000"/>
        </w:rPr>
        <w:t xml:space="preserve">Well abandonment services represent specialized high-value opportunities requiring advanced technical capabilities. More than 100 North East Scotland companies are involved in well abandonment work, developing innovative solutions that significantly reduce costs compared to traditional approaches. Technologies and services include </w:t>
      </w:r>
      <w:proofErr w:type="spellStart"/>
      <w:r>
        <w:rPr>
          <w:rFonts w:ascii="inter" w:eastAsia="inter" w:hAnsi="inter" w:cs="inter"/>
          <w:color w:val="000000"/>
        </w:rPr>
        <w:t>rigless</w:t>
      </w:r>
      <w:proofErr w:type="spellEnd"/>
      <w:r>
        <w:rPr>
          <w:rFonts w:ascii="inter" w:eastAsia="inter" w:hAnsi="inter" w:cs="inter"/>
          <w:color w:val="000000"/>
        </w:rPr>
        <w:t xml:space="preserve"> well abandonment systems, downhole barrier placement and verification, casing cutting and retrieval, and wellbore cleanup and verification. Bibby Offshore's strategic partnership solution combining advanced packer and cutting tools safely reduces costs while increasing effectiveness compared to costly mobile offshore drilling units traditionally required for category 1 and 2 well abandonment.</w:t>
      </w:r>
      <w:bookmarkStart w:id="166" w:name="fnref22_17"/>
      <w:bookmarkEnd w:id="166"/>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063D6B57" w14:textId="77777777" w:rsidR="00CB47B0" w:rsidRDefault="00000000">
      <w:pPr>
        <w:spacing w:after="210" w:line="360" w:lineRule="auto"/>
      </w:pPr>
      <w:r>
        <w:rPr>
          <w:rFonts w:ascii="inter" w:eastAsia="inter" w:hAnsi="inter" w:cs="inter"/>
          <w:color w:val="000000"/>
        </w:rPr>
        <w:t xml:space="preserve">Environmental remediation and waste management services provide additional revenue streams associated with decommissioning projects. Scottish companies like John Lawrie possess two decades of decommissioning activity experience, having successfully processed a range of subsea infrastructure including flexible risers and flowlines, </w:t>
      </w:r>
      <w:proofErr w:type="spellStart"/>
      <w:r>
        <w:rPr>
          <w:rFonts w:ascii="inter" w:eastAsia="inter" w:hAnsi="inter" w:cs="inter"/>
          <w:color w:val="000000"/>
        </w:rPr>
        <w:t>umbilicals</w:t>
      </w:r>
      <w:proofErr w:type="spellEnd"/>
      <w:r>
        <w:rPr>
          <w:rFonts w:ascii="inter" w:eastAsia="inter" w:hAnsi="inter" w:cs="inter"/>
          <w:color w:val="000000"/>
        </w:rPr>
        <w:t>, protection structures, mooring systems, concrete mattresses, riser bases, coated steel pipework, and NORM-contaminated components. These companies maintain licensed waste treatment facilities and can provide complete waste management solutions from offshore removal through onshore processing and recycling, addressing Vietnam's emerging needs as decommissioning activity accelerates.</w:t>
      </w:r>
      <w:bookmarkStart w:id="167" w:name="fnref22_18"/>
      <w:bookmarkEnd w:id="167"/>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7D4B96E8" w14:textId="77777777" w:rsidR="00CB47B0" w:rsidRDefault="00000000">
      <w:pPr>
        <w:spacing w:after="210" w:line="360" w:lineRule="auto"/>
      </w:pPr>
      <w:r>
        <w:rPr>
          <w:rFonts w:ascii="inter" w:eastAsia="inter" w:hAnsi="inter" w:cs="inter"/>
          <w:color w:val="000000"/>
        </w:rPr>
        <w:t>Project management and regulatory compliance services leverage Scottish companies' extensive experience navigating complex decommissioning regulatory frameworks. Vietnam is developing its decommissioning regulatory framework as the Song Doc project progresses, creating demand for expertise in decommissioning planning and permitting, environmental impact assessment, stakeholder engagement, and regulatory compliance management. The comprehensive project management capabilities Scottish companies developed managing North Sea decommissioning projects, often involving multiple stakeholders and complex regulatory requirements, directly address Vietnam's emerging decommissioning governance needs.</w:t>
      </w:r>
      <w:bookmarkStart w:id="168" w:name="fnref35_2"/>
      <w:bookmarkEnd w:id="168"/>
      <w:r>
        <w:fldChar w:fldCharType="begin"/>
      </w:r>
      <w:r>
        <w:instrText>HYPERLINK \l "fn35" \h</w:instrText>
      </w:r>
      <w:r>
        <w:fldChar w:fldCharType="separate"/>
      </w:r>
      <w:r>
        <w:rPr>
          <w:rFonts w:ascii="inter" w:eastAsia="inter" w:hAnsi="inter" w:cs="inter"/>
          <w:u w:val="single"/>
          <w:vertAlign w:val="superscript"/>
        </w:rPr>
        <w:t>[35]</w:t>
      </w:r>
      <w:r>
        <w:fldChar w:fldCharType="end"/>
      </w:r>
      <w:bookmarkStart w:id="169" w:name="fnref36_2"/>
      <w:bookmarkEnd w:id="169"/>
      <w:r>
        <w:fldChar w:fldCharType="begin"/>
      </w:r>
      <w:r>
        <w:instrText>HYPERLINK \l "fn36" \h</w:instrText>
      </w:r>
      <w:r>
        <w:fldChar w:fldCharType="separate"/>
      </w:r>
      <w:r>
        <w:rPr>
          <w:rFonts w:ascii="inter" w:eastAsia="inter" w:hAnsi="inter" w:cs="inter"/>
          <w:u w:val="single"/>
          <w:vertAlign w:val="superscript"/>
        </w:rPr>
        <w:t>[36]</w:t>
      </w:r>
      <w:r>
        <w:fldChar w:fldCharType="end"/>
      </w:r>
      <w:bookmarkStart w:id="170" w:name="fnref46_1"/>
      <w:bookmarkEnd w:id="170"/>
      <w:r>
        <w:fldChar w:fldCharType="begin"/>
      </w:r>
      <w:r>
        <w:instrText>HYPERLINK \l "fn46" \h</w:instrText>
      </w:r>
      <w:r>
        <w:fldChar w:fldCharType="separate"/>
      </w:r>
      <w:r>
        <w:rPr>
          <w:rFonts w:ascii="inter" w:eastAsia="inter" w:hAnsi="inter" w:cs="inter"/>
          <w:u w:val="single"/>
          <w:vertAlign w:val="superscript"/>
        </w:rPr>
        <w:t>[46]</w:t>
      </w:r>
      <w:r>
        <w:fldChar w:fldCharType="end"/>
      </w:r>
      <w:bookmarkStart w:id="171" w:name="fnref22_19"/>
      <w:bookmarkEnd w:id="171"/>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57E94C39" w14:textId="77777777" w:rsidR="00CB47B0" w:rsidRDefault="00000000">
      <w:pPr>
        <w:spacing w:before="315" w:after="105" w:line="360" w:lineRule="auto"/>
        <w:ind w:left="-30"/>
      </w:pPr>
      <w:bookmarkStart w:id="172" w:name="solar_marine_energy_and_hydropowe_88a839"/>
      <w:r>
        <w:rPr>
          <w:rFonts w:ascii="inter" w:eastAsia="inter" w:hAnsi="inter" w:cs="inter"/>
          <w:b/>
          <w:color w:val="000000"/>
          <w:sz w:val="24"/>
        </w:rPr>
        <w:t>Solar, Marine Energy, and Hydropower: Niche Opportunities</w:t>
      </w:r>
      <w:bookmarkEnd w:id="172"/>
    </w:p>
    <w:p w14:paraId="2C1E0FFC" w14:textId="77777777" w:rsidR="00CB47B0" w:rsidRDefault="00000000">
      <w:pPr>
        <w:spacing w:after="210" w:line="360" w:lineRule="auto"/>
      </w:pPr>
      <w:r>
        <w:rPr>
          <w:rFonts w:ascii="inter" w:eastAsia="inter" w:hAnsi="inter" w:cs="inter"/>
          <w:color w:val="000000"/>
        </w:rPr>
        <w:t>While offshore wind and decommissioning represent the largest opportunities, Vietnam's solar, marine, and hydropower sectors offer niche opportunities suited to specific Scottish capabilities. Solar energy, with installed capacity of approximately 16 GW as of 2025 and targets reaching 46-73 GW by 2030, focuses primarily on utility-scale solar farms and rooftop installations. North East Scotland companies can provide specialized services including solar farm O&amp;M services, grid integration and power quality solutions, floating solar installation expertise, and project finance structuring.</w:t>
      </w:r>
      <w:bookmarkStart w:id="173" w:name="fnref47"/>
      <w:bookmarkEnd w:id="173"/>
      <w:r>
        <w:fldChar w:fldCharType="begin"/>
      </w:r>
      <w:r>
        <w:instrText>HYPERLINK \l "fn47" \h</w:instrText>
      </w:r>
      <w:r>
        <w:fldChar w:fldCharType="separate"/>
      </w:r>
      <w:r>
        <w:rPr>
          <w:rFonts w:ascii="inter" w:eastAsia="inter" w:hAnsi="inter" w:cs="inter"/>
          <w:u w:val="single"/>
          <w:vertAlign w:val="superscript"/>
        </w:rPr>
        <w:t>[47]</w:t>
      </w:r>
      <w:r>
        <w:fldChar w:fldCharType="end"/>
      </w:r>
      <w:bookmarkStart w:id="174" w:name="fnref4_3"/>
      <w:bookmarkEnd w:id="174"/>
      <w:r>
        <w:fldChar w:fldCharType="begin"/>
      </w:r>
      <w:r>
        <w:instrText>HYPERLINK \l "fn4" \h</w:instrText>
      </w:r>
      <w:r>
        <w:fldChar w:fldCharType="separate"/>
      </w:r>
      <w:r>
        <w:rPr>
          <w:rFonts w:ascii="inter" w:eastAsia="inter" w:hAnsi="inter" w:cs="inter"/>
          <w:u w:val="single"/>
          <w:vertAlign w:val="superscript"/>
        </w:rPr>
        <w:t>[4]</w:t>
      </w:r>
      <w:r>
        <w:fldChar w:fldCharType="end"/>
      </w:r>
    </w:p>
    <w:p w14:paraId="1857F1E5" w14:textId="77777777" w:rsidR="00CB47B0" w:rsidRDefault="00000000">
      <w:pPr>
        <w:spacing w:after="210" w:line="360" w:lineRule="auto"/>
      </w:pPr>
      <w:r>
        <w:rPr>
          <w:rFonts w:ascii="inter" w:eastAsia="inter" w:hAnsi="inter" w:cs="inter"/>
          <w:color w:val="000000"/>
        </w:rPr>
        <w:t>Marine energy, encompassing wave and tidal power, remains in early development stages in Vietnam but offers long-term opportunities aligned with Scottish technological leadership. Vietnam possesses wave energy potential particularly in central coastal waters from Quang Ngai to Ninh Thuan, where average wave energy density can reach 15-20 kW/m of wave crest length. Scottish companies lead globally in wave and tidal energy technology development, with innovations like Orbital Marine Power's O2 floating tidal turbine demonstrating commercial viability. Scottish capabilities in wave and tidal resource assessment, device technology development and supply, marine operations for installation and maintenance, and grid integration for variable marine energy sources can support Vietnam's long-term marine energy development.</w:t>
      </w:r>
      <w:bookmarkStart w:id="175" w:name="fnref48"/>
      <w:bookmarkEnd w:id="175"/>
      <w:r>
        <w:fldChar w:fldCharType="begin"/>
      </w:r>
      <w:r>
        <w:instrText>HYPERLINK \l "fn48" \h</w:instrText>
      </w:r>
      <w:r>
        <w:fldChar w:fldCharType="separate"/>
      </w:r>
      <w:r>
        <w:rPr>
          <w:rFonts w:ascii="inter" w:eastAsia="inter" w:hAnsi="inter" w:cs="inter"/>
          <w:u w:val="single"/>
          <w:vertAlign w:val="superscript"/>
        </w:rPr>
        <w:t>[48]</w:t>
      </w:r>
      <w:r>
        <w:fldChar w:fldCharType="end"/>
      </w:r>
      <w:bookmarkStart w:id="176" w:name="fnref39_1"/>
      <w:bookmarkEnd w:id="176"/>
      <w:r>
        <w:fldChar w:fldCharType="begin"/>
      </w:r>
      <w:r>
        <w:instrText>HYPERLINK \l "fn39" \h</w:instrText>
      </w:r>
      <w:r>
        <w:fldChar w:fldCharType="separate"/>
      </w:r>
      <w:r>
        <w:rPr>
          <w:rFonts w:ascii="inter" w:eastAsia="inter" w:hAnsi="inter" w:cs="inter"/>
          <w:u w:val="single"/>
          <w:vertAlign w:val="superscript"/>
        </w:rPr>
        <w:t>[39]</w:t>
      </w:r>
      <w:r>
        <w:fldChar w:fldCharType="end"/>
      </w:r>
    </w:p>
    <w:p w14:paraId="00E78C47" w14:textId="77777777" w:rsidR="00CB47B0" w:rsidRDefault="00000000">
      <w:pPr>
        <w:spacing w:after="210" w:line="360" w:lineRule="auto"/>
      </w:pPr>
      <w:r>
        <w:rPr>
          <w:rFonts w:ascii="inter" w:eastAsia="inter" w:hAnsi="inter" w:cs="inter"/>
          <w:color w:val="000000"/>
        </w:rPr>
        <w:t>Hydropower, while representing a mature sector in Vietnam, offers modernization and optimization opportunities. Scottish expertise in hydro plant refurbishment and upgrades, efficiency optimization through digital monitoring, and environmental flow management can support Vietnam's aging hydropower fleet. The integration of hydropower with variable renewable sources like solar and wind, leveraging hydro's dispatchability for grid balancing, represents an area where Scottish grid integration expertise provides value.</w:t>
      </w:r>
      <w:bookmarkStart w:id="177" w:name="fnref49"/>
      <w:bookmarkEnd w:id="177"/>
      <w:r>
        <w:fldChar w:fldCharType="begin"/>
      </w:r>
      <w:r>
        <w:instrText>HYPERLINK \l "fn49" \h</w:instrText>
      </w:r>
      <w:r>
        <w:fldChar w:fldCharType="separate"/>
      </w:r>
      <w:r>
        <w:rPr>
          <w:rFonts w:ascii="inter" w:eastAsia="inter" w:hAnsi="inter" w:cs="inter"/>
          <w:u w:val="single"/>
          <w:vertAlign w:val="superscript"/>
        </w:rPr>
        <w:t>[49]</w:t>
      </w:r>
      <w:r>
        <w:fldChar w:fldCharType="end"/>
      </w:r>
      <w:bookmarkStart w:id="178" w:name="fnref14_4"/>
      <w:bookmarkEnd w:id="178"/>
      <w:r>
        <w:fldChar w:fldCharType="begin"/>
      </w:r>
      <w:r>
        <w:instrText>HYPERLINK \l "fn14" \h</w:instrText>
      </w:r>
      <w:r>
        <w:fldChar w:fldCharType="separate"/>
      </w:r>
      <w:r>
        <w:rPr>
          <w:rFonts w:ascii="inter" w:eastAsia="inter" w:hAnsi="inter" w:cs="inter"/>
          <w:u w:val="single"/>
          <w:vertAlign w:val="superscript"/>
        </w:rPr>
        <w:t>[14]</w:t>
      </w:r>
      <w:r>
        <w:fldChar w:fldCharType="end"/>
      </w:r>
    </w:p>
    <w:p w14:paraId="4DFD281B" w14:textId="77777777" w:rsidR="00CB47B0" w:rsidRDefault="00000000" w:rsidP="00A460CE">
      <w:pPr>
        <w:pStyle w:val="Heading1"/>
      </w:pPr>
      <w:bookmarkStart w:id="179" w:name="key_low_carbon_projects_in_vietnam"/>
      <w:r>
        <w:rPr>
          <w:rFonts w:eastAsia="inter"/>
        </w:rPr>
        <w:t>Key Low-Carbon Projects in Vietnam</w:t>
      </w:r>
      <w:bookmarkEnd w:id="179"/>
    </w:p>
    <w:p w14:paraId="03F86303" w14:textId="77777777" w:rsidR="00CB47B0" w:rsidRDefault="00000000">
      <w:pPr>
        <w:spacing w:after="210" w:line="360" w:lineRule="auto"/>
      </w:pPr>
      <w:r>
        <w:rPr>
          <w:rFonts w:ascii="inter" w:eastAsia="inter" w:hAnsi="inter" w:cs="inter"/>
          <w:color w:val="000000"/>
        </w:rPr>
        <w:t>The comprehensive project database compiled through this research identifies fifteen major low-carbon energy projects representing significant opportunities for North East Scotland companies. These projects span offshore wind, green hydrogen, CCUS, solar, and decommissioning sectors, with combined capital expenditures estimated in excess of $60 billion.</w:t>
      </w:r>
    </w:p>
    <w:p w14:paraId="6AFB28CD" w14:textId="77777777" w:rsidR="00CB47B0" w:rsidRDefault="00000000">
      <w:pPr>
        <w:spacing w:after="210" w:line="360" w:lineRule="auto"/>
      </w:pPr>
      <w:r>
        <w:rPr>
          <w:rFonts w:ascii="inter" w:eastAsia="inter" w:hAnsi="inter" w:cs="inter"/>
          <w:b/>
          <w:color w:val="000000"/>
        </w:rPr>
        <w:t>Thang Long Offshore Wind</w:t>
      </w:r>
      <w:r>
        <w:rPr>
          <w:rFonts w:ascii="inter" w:eastAsia="inter" w:hAnsi="inter" w:cs="inter"/>
          <w:color w:val="000000"/>
        </w:rPr>
        <w:t xml:space="preserve"> stands as one of Vietnam's most advanced offshore wind developments, with </w:t>
      </w:r>
      <w:proofErr w:type="spellStart"/>
      <w:r>
        <w:rPr>
          <w:rFonts w:ascii="inter" w:eastAsia="inter" w:hAnsi="inter" w:cs="inter"/>
          <w:color w:val="000000"/>
        </w:rPr>
        <w:t>Enterprize</w:t>
      </w:r>
      <w:proofErr w:type="spellEnd"/>
      <w:r>
        <w:rPr>
          <w:rFonts w:ascii="inter" w:eastAsia="inter" w:hAnsi="inter" w:cs="inter"/>
          <w:color w:val="000000"/>
        </w:rPr>
        <w:t xml:space="preserve"> Energy developing 3,408 MW capacity across five phases off Binh Thuan province. The project, valued at $11.9 billion, received offshore survey rights in 2019 and has been collecting wind data since Q3 2019 through fixed LiDAR deployed on an offshore platform. The developer has submitted plans to the Ministry of Industry and Trade for inclusion in the Vietnam National Development Plan and secured investment from a partner to co-invest, with potential for an 'Energy </w:t>
      </w:r>
      <w:proofErr w:type="spellStart"/>
      <w:r>
        <w:rPr>
          <w:rFonts w:ascii="inter" w:eastAsia="inter" w:hAnsi="inter" w:cs="inter"/>
          <w:color w:val="000000"/>
        </w:rPr>
        <w:t>Plus'</w:t>
      </w:r>
      <w:proofErr w:type="spellEnd"/>
      <w:r>
        <w:rPr>
          <w:rFonts w:ascii="inter" w:eastAsia="inter" w:hAnsi="inter" w:cs="inter"/>
          <w:color w:val="000000"/>
        </w:rPr>
        <w:t xml:space="preserve"> scheme incorporating hydrogen production capabilities. Contract opportunities span foundations, turbines, offshore substations, subsea cables, installation services, and operations and maintenance across the project's phased development from 2025-2027.</w:t>
      </w:r>
      <w:bookmarkStart w:id="180" w:name="fnref50"/>
      <w:bookmarkEnd w:id="180"/>
      <w:r>
        <w:fldChar w:fldCharType="begin"/>
      </w:r>
      <w:r>
        <w:instrText>HYPERLINK \l "fn50" \h</w:instrText>
      </w:r>
      <w:r>
        <w:fldChar w:fldCharType="separate"/>
      </w:r>
      <w:r>
        <w:rPr>
          <w:rFonts w:ascii="inter" w:eastAsia="inter" w:hAnsi="inter" w:cs="inter"/>
          <w:u w:val="single"/>
          <w:vertAlign w:val="superscript"/>
        </w:rPr>
        <w:t>[50]</w:t>
      </w:r>
      <w:r>
        <w:fldChar w:fldCharType="end"/>
      </w:r>
      <w:bookmarkStart w:id="181" w:name="fnref42_1"/>
      <w:bookmarkEnd w:id="181"/>
      <w:r>
        <w:fldChar w:fldCharType="begin"/>
      </w:r>
      <w:r>
        <w:instrText>HYPERLINK \l "fn42" \h</w:instrText>
      </w:r>
      <w:r>
        <w:fldChar w:fldCharType="separate"/>
      </w:r>
      <w:r>
        <w:rPr>
          <w:rFonts w:ascii="inter" w:eastAsia="inter" w:hAnsi="inter" w:cs="inter"/>
          <w:u w:val="single"/>
          <w:vertAlign w:val="superscript"/>
        </w:rPr>
        <w:t>[42]</w:t>
      </w:r>
      <w:r>
        <w:fldChar w:fldCharType="end"/>
      </w:r>
    </w:p>
    <w:p w14:paraId="405941F3" w14:textId="77777777" w:rsidR="00CB47B0" w:rsidRDefault="00000000">
      <w:pPr>
        <w:spacing w:after="210" w:line="360" w:lineRule="auto"/>
      </w:pPr>
      <w:r>
        <w:rPr>
          <w:rFonts w:ascii="inter" w:eastAsia="inter" w:hAnsi="inter" w:cs="inter"/>
          <w:b/>
          <w:color w:val="000000"/>
        </w:rPr>
        <w:t>La Gan Offshore Wind</w:t>
      </w:r>
      <w:r>
        <w:rPr>
          <w:rFonts w:ascii="inter" w:eastAsia="inter" w:hAnsi="inter" w:cs="inter"/>
          <w:color w:val="000000"/>
        </w:rPr>
        <w:t xml:space="preserve">, developed by Copenhagen Infrastructure Partners (CIP) in partnership with </w:t>
      </w:r>
      <w:proofErr w:type="spellStart"/>
      <w:r>
        <w:rPr>
          <w:rFonts w:ascii="inter" w:eastAsia="inter" w:hAnsi="inter" w:cs="inter"/>
          <w:color w:val="000000"/>
        </w:rPr>
        <w:t>Novasia</w:t>
      </w:r>
      <w:proofErr w:type="spellEnd"/>
      <w:r>
        <w:rPr>
          <w:rFonts w:ascii="inter" w:eastAsia="inter" w:hAnsi="inter" w:cs="inter"/>
          <w:color w:val="000000"/>
        </w:rPr>
        <w:t xml:space="preserve"> Energy and Asia Petroleum Energy, targets 3,500 MW capacity across two phases in Binh Thuan province. CIP entered the Vietnamese market in early 2019 and is currently developing this flagship project alongside other offshore wind developments with combined capacity exceeding 10 GW. The La Gan project, expected to supply clean energy to 7 million households and offset 130 million </w:t>
      </w:r>
      <w:proofErr w:type="spellStart"/>
      <w:r>
        <w:rPr>
          <w:rFonts w:ascii="inter" w:eastAsia="inter" w:hAnsi="inter" w:cs="inter"/>
          <w:color w:val="000000"/>
        </w:rPr>
        <w:t>tonnes</w:t>
      </w:r>
      <w:proofErr w:type="spellEnd"/>
      <w:r>
        <w:rPr>
          <w:rFonts w:ascii="inter" w:eastAsia="inter" w:hAnsi="inter" w:cs="inter"/>
          <w:color w:val="000000"/>
        </w:rPr>
        <w:t xml:space="preserve"> of CO2 emissions, will spread over 600 square kilometers with turbines mounted on fixed foundations. Expected construction commencement in 2025 with commercial operation by 2029 positions this among the earliest large-scale Vietnamese offshore wind farms, creating immediate procurement opportunities for foundation, turbine, substation, cable, and installation contractors.</w:t>
      </w:r>
      <w:bookmarkStart w:id="182" w:name="fnref51"/>
      <w:bookmarkEnd w:id="182"/>
      <w:r>
        <w:fldChar w:fldCharType="begin"/>
      </w:r>
      <w:r>
        <w:instrText>HYPERLINK \l "fn51" \h</w:instrText>
      </w:r>
      <w:r>
        <w:fldChar w:fldCharType="separate"/>
      </w:r>
      <w:r>
        <w:rPr>
          <w:rFonts w:ascii="inter" w:eastAsia="inter" w:hAnsi="inter" w:cs="inter"/>
          <w:u w:val="single"/>
          <w:vertAlign w:val="superscript"/>
        </w:rPr>
        <w:t>[51]</w:t>
      </w:r>
      <w:r>
        <w:fldChar w:fldCharType="end"/>
      </w:r>
      <w:bookmarkStart w:id="183" w:name="fnref52"/>
      <w:bookmarkEnd w:id="183"/>
      <w:r>
        <w:fldChar w:fldCharType="begin"/>
      </w:r>
      <w:r>
        <w:instrText>HYPERLINK \l "fn52" \h</w:instrText>
      </w:r>
      <w:r>
        <w:fldChar w:fldCharType="separate"/>
      </w:r>
      <w:r>
        <w:rPr>
          <w:rFonts w:ascii="inter" w:eastAsia="inter" w:hAnsi="inter" w:cs="inter"/>
          <w:u w:val="single"/>
          <w:vertAlign w:val="superscript"/>
        </w:rPr>
        <w:t>[52]</w:t>
      </w:r>
      <w:r>
        <w:fldChar w:fldCharType="end"/>
      </w:r>
      <w:bookmarkStart w:id="184" w:name="fnref53"/>
      <w:bookmarkEnd w:id="184"/>
      <w:r>
        <w:fldChar w:fldCharType="begin"/>
      </w:r>
      <w:r>
        <w:instrText>HYPERLINK \l "fn53" \h</w:instrText>
      </w:r>
      <w:r>
        <w:fldChar w:fldCharType="separate"/>
      </w:r>
      <w:r>
        <w:rPr>
          <w:rFonts w:ascii="inter" w:eastAsia="inter" w:hAnsi="inter" w:cs="inter"/>
          <w:u w:val="single"/>
          <w:vertAlign w:val="superscript"/>
        </w:rPr>
        <w:t>[53]</w:t>
      </w:r>
      <w:r>
        <w:fldChar w:fldCharType="end"/>
      </w:r>
      <w:bookmarkStart w:id="185" w:name="fnref40_1"/>
      <w:bookmarkEnd w:id="185"/>
      <w:r>
        <w:fldChar w:fldCharType="begin"/>
      </w:r>
      <w:r>
        <w:instrText>HYPERLINK \l "fn40" \h</w:instrText>
      </w:r>
      <w:r>
        <w:fldChar w:fldCharType="separate"/>
      </w:r>
      <w:r>
        <w:rPr>
          <w:rFonts w:ascii="inter" w:eastAsia="inter" w:hAnsi="inter" w:cs="inter"/>
          <w:u w:val="single"/>
          <w:vertAlign w:val="superscript"/>
        </w:rPr>
        <w:t>[40]</w:t>
      </w:r>
      <w:r>
        <w:fldChar w:fldCharType="end"/>
      </w:r>
    </w:p>
    <w:p w14:paraId="3B43DC52" w14:textId="77777777" w:rsidR="00CB47B0" w:rsidRDefault="00000000">
      <w:pPr>
        <w:spacing w:after="210" w:line="360" w:lineRule="auto"/>
      </w:pPr>
      <w:r>
        <w:rPr>
          <w:rFonts w:ascii="inter" w:eastAsia="inter" w:hAnsi="inter" w:cs="inter"/>
          <w:b/>
          <w:color w:val="000000"/>
        </w:rPr>
        <w:t>Can Gio Offshore Wind</w:t>
      </w:r>
      <w:r>
        <w:rPr>
          <w:rFonts w:ascii="inter" w:eastAsia="inter" w:hAnsi="inter" w:cs="inter"/>
          <w:color w:val="000000"/>
        </w:rPr>
        <w:t xml:space="preserve"> represents the largest proposed project at 6,000 MW capacity across four investment phases from 2025 to 2040, located in the southern East Sea area near Ho Chi Minh City. With estimated capital requirements of approximately $16 billion, the project aims to become a main energy source for Ho Chi Minh City, providing power for major infrastructure including the Ho Chi Minh City-Can Tho High-Speed Railway and Can Gio International Transshipment Port. The project's strategic positioning closer to energy consumption centers compared to other Vietnamese offshore wind farms potentially reduces transmission infrastructure requirements, though full development across four decades requires sustained commitment and evolving regulatory frameworks.</w:t>
      </w:r>
      <w:bookmarkStart w:id="186" w:name="fnref41_1"/>
      <w:bookmarkEnd w:id="186"/>
      <w:r>
        <w:fldChar w:fldCharType="begin"/>
      </w:r>
      <w:r>
        <w:instrText>HYPERLINK \l "fn41" \h</w:instrText>
      </w:r>
      <w:r>
        <w:fldChar w:fldCharType="separate"/>
      </w:r>
      <w:r>
        <w:rPr>
          <w:rFonts w:ascii="inter" w:eastAsia="inter" w:hAnsi="inter" w:cs="inter"/>
          <w:u w:val="single"/>
          <w:vertAlign w:val="superscript"/>
        </w:rPr>
        <w:t>[41]</w:t>
      </w:r>
      <w:r>
        <w:fldChar w:fldCharType="end"/>
      </w:r>
      <w:bookmarkStart w:id="187" w:name="fnref43_1"/>
      <w:bookmarkEnd w:id="187"/>
      <w:r>
        <w:fldChar w:fldCharType="begin"/>
      </w:r>
      <w:r>
        <w:instrText>HYPERLINK \l "fn43" \h</w:instrText>
      </w:r>
      <w:r>
        <w:fldChar w:fldCharType="separate"/>
      </w:r>
      <w:r>
        <w:rPr>
          <w:rFonts w:ascii="inter" w:eastAsia="inter" w:hAnsi="inter" w:cs="inter"/>
          <w:u w:val="single"/>
          <w:vertAlign w:val="superscript"/>
        </w:rPr>
        <w:t>[43]</w:t>
      </w:r>
      <w:r>
        <w:fldChar w:fldCharType="end"/>
      </w:r>
    </w:p>
    <w:p w14:paraId="356815D9" w14:textId="77777777" w:rsidR="00CB47B0" w:rsidRDefault="00000000">
      <w:pPr>
        <w:spacing w:after="210" w:line="360" w:lineRule="auto"/>
      </w:pPr>
      <w:r>
        <w:rPr>
          <w:rFonts w:ascii="inter" w:eastAsia="inter" w:hAnsi="inter" w:cs="inter"/>
          <w:b/>
          <w:color w:val="000000"/>
        </w:rPr>
        <w:t>Tra Vinh Green Hydrogen and Ammonia</w:t>
      </w:r>
      <w:r>
        <w:rPr>
          <w:rFonts w:ascii="inter" w:eastAsia="inter" w:hAnsi="inter" w:cs="inter"/>
          <w:color w:val="000000"/>
        </w:rPr>
        <w:t xml:space="preserve"> project by The Green Solutions represents Vietnam's most advanced green hydrogen development, featuring 240 MW of pressurized alkaline electrolysis to produce 182,500 tons of renewable ammonia per year. The project, located on the southern Vietnamese coastline in the Mekong Delta, integrates 600 MW of combined offshore wind, onshore solar, and battery energy storage. John Cockerill will provide </w:t>
      </w:r>
      <w:proofErr w:type="spellStart"/>
      <w:r>
        <w:rPr>
          <w:rFonts w:ascii="inter" w:eastAsia="inter" w:hAnsi="inter" w:cs="inter"/>
          <w:color w:val="000000"/>
        </w:rPr>
        <w:t>electrolyzer</w:t>
      </w:r>
      <w:proofErr w:type="spellEnd"/>
      <w:r>
        <w:rPr>
          <w:rFonts w:ascii="inter" w:eastAsia="inter" w:hAnsi="inter" w:cs="inter"/>
          <w:color w:val="000000"/>
        </w:rPr>
        <w:t xml:space="preserve"> technology and potentially operational, maintenance, and training services through a Memorandum of Understanding signed during a Belgian state visit to Vietnam in April 2025. EPC work finalization is scheduled for mid-2025 with first molecules produced from late 2026, creating immediate procurement opportunities for </w:t>
      </w:r>
      <w:proofErr w:type="spellStart"/>
      <w:r>
        <w:rPr>
          <w:rFonts w:ascii="inter" w:eastAsia="inter" w:hAnsi="inter" w:cs="inter"/>
          <w:color w:val="000000"/>
        </w:rPr>
        <w:t>electrolyzer</w:t>
      </w:r>
      <w:proofErr w:type="spellEnd"/>
      <w:r>
        <w:rPr>
          <w:rFonts w:ascii="inter" w:eastAsia="inter" w:hAnsi="inter" w:cs="inter"/>
          <w:color w:val="000000"/>
        </w:rPr>
        <w:t xml:space="preserve"> systems, renewable energy integration components, battery storage systems, and ammonia production facilities.</w:t>
      </w:r>
      <w:bookmarkStart w:id="188" w:name="fnref26_2"/>
      <w:bookmarkEnd w:id="188"/>
      <w:r>
        <w:fldChar w:fldCharType="begin"/>
      </w:r>
      <w:r>
        <w:instrText>HYPERLINK \l "fn26" \h</w:instrText>
      </w:r>
      <w:r>
        <w:fldChar w:fldCharType="separate"/>
      </w:r>
      <w:r>
        <w:rPr>
          <w:rFonts w:ascii="inter" w:eastAsia="inter" w:hAnsi="inter" w:cs="inter"/>
          <w:u w:val="single"/>
          <w:vertAlign w:val="superscript"/>
        </w:rPr>
        <w:t>[26]</w:t>
      </w:r>
      <w:r>
        <w:fldChar w:fldCharType="end"/>
      </w:r>
      <w:bookmarkStart w:id="189" w:name="fnref25_4"/>
      <w:bookmarkEnd w:id="189"/>
      <w:r>
        <w:fldChar w:fldCharType="begin"/>
      </w:r>
      <w:r>
        <w:instrText>HYPERLINK \l "fn25" \h</w:instrText>
      </w:r>
      <w:r>
        <w:fldChar w:fldCharType="separate"/>
      </w:r>
      <w:r>
        <w:rPr>
          <w:rFonts w:ascii="inter" w:eastAsia="inter" w:hAnsi="inter" w:cs="inter"/>
          <w:u w:val="single"/>
          <w:vertAlign w:val="superscript"/>
        </w:rPr>
        <w:t>[25]</w:t>
      </w:r>
      <w:r>
        <w:fldChar w:fldCharType="end"/>
      </w:r>
    </w:p>
    <w:p w14:paraId="751AFA6C" w14:textId="77777777" w:rsidR="00CB47B0" w:rsidRDefault="00000000">
      <w:pPr>
        <w:spacing w:after="210" w:line="360" w:lineRule="auto"/>
      </w:pPr>
      <w:r>
        <w:rPr>
          <w:rFonts w:ascii="inter" w:eastAsia="inter" w:hAnsi="inter" w:cs="inter"/>
          <w:color w:val="000000"/>
        </w:rPr>
        <w:t xml:space="preserve">The three </w:t>
      </w:r>
      <w:r>
        <w:rPr>
          <w:rFonts w:ascii="inter" w:eastAsia="inter" w:hAnsi="inter" w:cs="inter"/>
          <w:b/>
          <w:color w:val="000000"/>
        </w:rPr>
        <w:t>CCUS feasibility studies</w:t>
      </w:r>
      <w:r>
        <w:rPr>
          <w:rFonts w:ascii="inter" w:eastAsia="inter" w:hAnsi="inter" w:cs="inter"/>
          <w:color w:val="000000"/>
        </w:rPr>
        <w:t xml:space="preserve"> at Vung Ang 1, Song Hau 1, and Thai Binh 2 coal-fired power plants, each with 2x600 MW capacity, represent Vietnam's inaugural carbon capture assessment commissioned by Vietnam Petroleum Institute and conducted by Black &amp; Veatch. These front-end loading studies will assess carbon capture technology options, propose suitable technology for each power plant, develop preliminary conceptual designs for carbon capture units, and outline strategies for connecting capture units to existing power plants. Study completion in 2024-2025 will inform Vietnam's national CCUS roadmap and legal framework, with subsequent FEED and detailed engineering phases creating opportunities for engineering services, carbon capture equipment supply, and system integration.</w:t>
      </w:r>
      <w:bookmarkStart w:id="190" w:name="fnref23_2"/>
      <w:bookmarkEnd w:id="190"/>
      <w:r>
        <w:fldChar w:fldCharType="begin"/>
      </w:r>
      <w:r>
        <w:instrText>HYPERLINK \l "fn23" \h</w:instrText>
      </w:r>
      <w:r>
        <w:fldChar w:fldCharType="separate"/>
      </w:r>
      <w:r>
        <w:rPr>
          <w:rFonts w:ascii="inter" w:eastAsia="inter" w:hAnsi="inter" w:cs="inter"/>
          <w:u w:val="single"/>
          <w:vertAlign w:val="superscript"/>
        </w:rPr>
        <w:t>[23]</w:t>
      </w:r>
      <w:r>
        <w:fldChar w:fldCharType="end"/>
      </w:r>
      <w:bookmarkStart w:id="191" w:name="fnref44_2"/>
      <w:bookmarkEnd w:id="191"/>
      <w:r>
        <w:fldChar w:fldCharType="begin"/>
      </w:r>
      <w:r>
        <w:instrText>HYPERLINK \l "fn44" \h</w:instrText>
      </w:r>
      <w:r>
        <w:fldChar w:fldCharType="separate"/>
      </w:r>
      <w:r>
        <w:rPr>
          <w:rFonts w:ascii="inter" w:eastAsia="inter" w:hAnsi="inter" w:cs="inter"/>
          <w:u w:val="single"/>
          <w:vertAlign w:val="superscript"/>
        </w:rPr>
        <w:t>[44]</w:t>
      </w:r>
      <w:r>
        <w:fldChar w:fldCharType="end"/>
      </w:r>
      <w:bookmarkStart w:id="192" w:name="fnref24_4"/>
      <w:bookmarkEnd w:id="192"/>
      <w:r>
        <w:fldChar w:fldCharType="begin"/>
      </w:r>
      <w:r>
        <w:instrText>HYPERLINK \l "fn24" \h</w:instrText>
      </w:r>
      <w:r>
        <w:fldChar w:fldCharType="separate"/>
      </w:r>
      <w:r>
        <w:rPr>
          <w:rFonts w:ascii="inter" w:eastAsia="inter" w:hAnsi="inter" w:cs="inter"/>
          <w:u w:val="single"/>
          <w:vertAlign w:val="superscript"/>
        </w:rPr>
        <w:t>[24]</w:t>
      </w:r>
      <w:r>
        <w:fldChar w:fldCharType="end"/>
      </w:r>
    </w:p>
    <w:p w14:paraId="27060436" w14:textId="77777777" w:rsidR="00CB47B0" w:rsidRDefault="00000000" w:rsidP="00A460CE">
      <w:pPr>
        <w:pStyle w:val="Heading1"/>
      </w:pPr>
      <w:bookmarkStart w:id="193" w:name="policy_regulations_and_trade_environment"/>
      <w:r>
        <w:rPr>
          <w:rFonts w:eastAsia="inter"/>
        </w:rPr>
        <w:t>Policy, Regulations, and Trade Environment</w:t>
      </w:r>
      <w:bookmarkEnd w:id="193"/>
    </w:p>
    <w:p w14:paraId="2CDC5293" w14:textId="77777777" w:rsidR="00CB47B0" w:rsidRDefault="00000000">
      <w:pPr>
        <w:spacing w:before="315" w:after="105" w:line="360" w:lineRule="auto"/>
        <w:ind w:left="-30"/>
      </w:pPr>
      <w:bookmarkStart w:id="194" w:name="local_content_requirements_and_in_674c9a"/>
      <w:r>
        <w:rPr>
          <w:rFonts w:ascii="inter" w:eastAsia="inter" w:hAnsi="inter" w:cs="inter"/>
          <w:b/>
          <w:color w:val="000000"/>
          <w:sz w:val="24"/>
        </w:rPr>
        <w:t>Local Content Requirements and Incentives</w:t>
      </w:r>
      <w:bookmarkEnd w:id="194"/>
    </w:p>
    <w:p w14:paraId="1B58ABC5" w14:textId="77777777" w:rsidR="00CB47B0" w:rsidRDefault="00000000">
      <w:pPr>
        <w:spacing w:after="210" w:line="360" w:lineRule="auto"/>
      </w:pPr>
      <w:r>
        <w:rPr>
          <w:rFonts w:ascii="inter" w:eastAsia="inter" w:hAnsi="inter" w:cs="inter"/>
          <w:color w:val="000000"/>
        </w:rPr>
        <w:t>Vietnam has not yet established mandatory local content requirements (LCRs) for renewable energy projects, distinguishing it from regional competitors like Taiwan with 60% LCRs or Indonesia with solar LCR targets. This absence provides flexibility for international suppliers including North East Scotland companies to participate without artificial constraints, while simultaneously creating uncertainty about potential future requirements. The government's Decision 165/QD-</w:t>
      </w:r>
      <w:proofErr w:type="spellStart"/>
      <w:r>
        <w:rPr>
          <w:rFonts w:ascii="inter" w:eastAsia="inter" w:hAnsi="inter" w:cs="inter"/>
          <w:color w:val="000000"/>
        </w:rPr>
        <w:t>TTg</w:t>
      </w:r>
      <w:proofErr w:type="spellEnd"/>
      <w:r>
        <w:rPr>
          <w:rFonts w:ascii="inter" w:eastAsia="inter" w:hAnsi="inter" w:cs="inter"/>
          <w:color w:val="000000"/>
        </w:rPr>
        <w:t xml:space="preserve"> issued in February 2023 emphasized the need to expand major industries' local supply chains, suggesting eventual LCR implementation remains possible.</w:t>
      </w:r>
      <w:bookmarkStart w:id="195" w:name="fnref19_2"/>
      <w:bookmarkEnd w:id="195"/>
      <w:r>
        <w:fldChar w:fldCharType="begin"/>
      </w:r>
      <w:r>
        <w:instrText>HYPERLINK \l "fn19" \h</w:instrText>
      </w:r>
      <w:r>
        <w:fldChar w:fldCharType="separate"/>
      </w:r>
      <w:r>
        <w:rPr>
          <w:rFonts w:ascii="inter" w:eastAsia="inter" w:hAnsi="inter" w:cs="inter"/>
          <w:u w:val="single"/>
          <w:vertAlign w:val="superscript"/>
        </w:rPr>
        <w:t>[19]</w:t>
      </w:r>
      <w:r>
        <w:fldChar w:fldCharType="end"/>
      </w:r>
      <w:bookmarkStart w:id="196" w:name="fnref30_1"/>
      <w:bookmarkEnd w:id="196"/>
      <w:r>
        <w:fldChar w:fldCharType="begin"/>
      </w:r>
      <w:r>
        <w:instrText>HYPERLINK \l "fn30" \h</w:instrText>
      </w:r>
      <w:r>
        <w:fldChar w:fldCharType="separate"/>
      </w:r>
      <w:r>
        <w:rPr>
          <w:rFonts w:ascii="inter" w:eastAsia="inter" w:hAnsi="inter" w:cs="inter"/>
          <w:u w:val="single"/>
          <w:vertAlign w:val="superscript"/>
        </w:rPr>
        <w:t>[30]</w:t>
      </w:r>
      <w:r>
        <w:fldChar w:fldCharType="end"/>
      </w:r>
    </w:p>
    <w:p w14:paraId="33C25A4B" w14:textId="77777777" w:rsidR="00CB47B0" w:rsidRDefault="00000000">
      <w:pPr>
        <w:spacing w:after="210" w:line="360" w:lineRule="auto"/>
      </w:pPr>
      <w:r>
        <w:rPr>
          <w:rFonts w:ascii="inter" w:eastAsia="inter" w:hAnsi="inter" w:cs="inter"/>
          <w:color w:val="000000"/>
        </w:rPr>
        <w:t>International experience with LCRs offers instructive precedents for Vietnam's potential approach. China's wind boom benefited from LCRs starting at 50% in 2003, increasing to 70% in 2004, before abolition in 2009 as local industry matured—implemented as a short-term objective to increase local manufacturer competency with clear milestones before market opening to international players. Less widely known, China initiated LCRs at much lower levels (20%) and earlier (1997), demonstrating the value of gradual, progressive requirements aligned with industrial development stages. Vietnam may adopt similar phased approaches, creating opportunities for international companies to participate in early projects while supporting local capability development through joint ventures, technology transfer, and training programs.</w:t>
      </w:r>
      <w:bookmarkStart w:id="197" w:name="fnref30_2"/>
      <w:bookmarkEnd w:id="197"/>
      <w:r>
        <w:fldChar w:fldCharType="begin"/>
      </w:r>
      <w:r>
        <w:instrText>HYPERLINK \l "fn30" \h</w:instrText>
      </w:r>
      <w:r>
        <w:fldChar w:fldCharType="separate"/>
      </w:r>
      <w:r>
        <w:rPr>
          <w:rFonts w:ascii="inter" w:eastAsia="inter" w:hAnsi="inter" w:cs="inter"/>
          <w:u w:val="single"/>
          <w:vertAlign w:val="superscript"/>
        </w:rPr>
        <w:t>[30]</w:t>
      </w:r>
      <w:r>
        <w:fldChar w:fldCharType="end"/>
      </w:r>
      <w:bookmarkStart w:id="198" w:name="fnref20_1"/>
      <w:bookmarkEnd w:id="198"/>
      <w:r>
        <w:fldChar w:fldCharType="begin"/>
      </w:r>
      <w:r>
        <w:instrText>HYPERLINK \l "fn20" \h</w:instrText>
      </w:r>
      <w:r>
        <w:fldChar w:fldCharType="separate"/>
      </w:r>
      <w:r>
        <w:rPr>
          <w:rFonts w:ascii="inter" w:eastAsia="inter" w:hAnsi="inter" w:cs="inter"/>
          <w:u w:val="single"/>
          <w:vertAlign w:val="superscript"/>
        </w:rPr>
        <w:t>[20]</w:t>
      </w:r>
      <w:r>
        <w:fldChar w:fldCharType="end"/>
      </w:r>
    </w:p>
    <w:p w14:paraId="420EABCA" w14:textId="77777777" w:rsidR="00CB47B0" w:rsidRDefault="00000000">
      <w:pPr>
        <w:spacing w:after="210" w:line="360" w:lineRule="auto"/>
      </w:pPr>
      <w:r>
        <w:rPr>
          <w:rFonts w:ascii="inter" w:eastAsia="inter" w:hAnsi="inter" w:cs="inter"/>
          <w:color w:val="000000"/>
        </w:rPr>
        <w:t>The offshore wind supply chain study conducted for Norway's development assistance program identifies that no supply chain-specific incentives are currently in place in Vietnam, creating hurdles to domestic offshore wind supply chain development. The study recommends government action including allocation of investments to improve domestic port infrastructure and consideration of staged incentives that balance attracting international expertise with building local capabilities. For North East Scotland companies, this environment suggests that demonstrating commitment to local content through joint ventures, establishment of local service bases, and workforce training programs can provide competitive advantages in project bidding even absent formal requirements.</w:t>
      </w:r>
      <w:bookmarkStart w:id="199" w:name="fnref21_6"/>
      <w:bookmarkEnd w:id="199"/>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200" w:name="fnref38_4"/>
      <w:bookmarkEnd w:id="200"/>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201" w:name="fnref18_8"/>
      <w:bookmarkEnd w:id="201"/>
      <w:r>
        <w:fldChar w:fldCharType="begin"/>
      </w:r>
      <w:r>
        <w:instrText>HYPERLINK \l "fn18" \h</w:instrText>
      </w:r>
      <w:r>
        <w:fldChar w:fldCharType="separate"/>
      </w:r>
      <w:r>
        <w:rPr>
          <w:rFonts w:ascii="inter" w:eastAsia="inter" w:hAnsi="inter" w:cs="inter"/>
          <w:u w:val="single"/>
          <w:vertAlign w:val="superscript"/>
        </w:rPr>
        <w:t>[18]</w:t>
      </w:r>
      <w:r>
        <w:fldChar w:fldCharType="end"/>
      </w:r>
    </w:p>
    <w:p w14:paraId="47E1353B" w14:textId="77777777" w:rsidR="00CB47B0" w:rsidRDefault="00000000">
      <w:pPr>
        <w:spacing w:after="210" w:line="360" w:lineRule="auto"/>
      </w:pPr>
      <w:r>
        <w:rPr>
          <w:rFonts w:ascii="inter" w:eastAsia="inter" w:hAnsi="inter" w:cs="inter"/>
          <w:color w:val="000000"/>
        </w:rPr>
        <w:t>PDP8 includes various incentive mechanisms potentially applicable to offshore renewable energy projects, including sea area fee reductions for early-mover projects, guaranteed power offtake from Vietnam Electricity (EVN), potential tax incentives for renewable energy investment, and streamlined permitting for priority projects. However, the specific application and availability of these incentives depends on finalization of implementing regulations and project-specific negotiations with authorities. North East Scotland companies should work closely with Vietnamese partners and provincial authorities to understand and access available incentive programs.</w:t>
      </w:r>
      <w:bookmarkStart w:id="202" w:name="fnref42_2"/>
      <w:bookmarkEnd w:id="202"/>
      <w:r>
        <w:fldChar w:fldCharType="begin"/>
      </w:r>
      <w:r>
        <w:instrText>HYPERLINK \l "fn42" \h</w:instrText>
      </w:r>
      <w:r>
        <w:fldChar w:fldCharType="separate"/>
      </w:r>
      <w:r>
        <w:rPr>
          <w:rFonts w:ascii="inter" w:eastAsia="inter" w:hAnsi="inter" w:cs="inter"/>
          <w:u w:val="single"/>
          <w:vertAlign w:val="superscript"/>
        </w:rPr>
        <w:t>[42]</w:t>
      </w:r>
      <w:r>
        <w:fldChar w:fldCharType="end"/>
      </w:r>
      <w:bookmarkStart w:id="203" w:name="fnref54"/>
      <w:bookmarkEnd w:id="203"/>
      <w:r>
        <w:fldChar w:fldCharType="begin"/>
      </w:r>
      <w:r>
        <w:instrText>HYPERLINK \l "fn54" \h</w:instrText>
      </w:r>
      <w:r>
        <w:fldChar w:fldCharType="separate"/>
      </w:r>
      <w:r>
        <w:rPr>
          <w:rFonts w:ascii="inter" w:eastAsia="inter" w:hAnsi="inter" w:cs="inter"/>
          <w:u w:val="single"/>
          <w:vertAlign w:val="superscript"/>
        </w:rPr>
        <w:t>[54]</w:t>
      </w:r>
      <w:r>
        <w:fldChar w:fldCharType="end"/>
      </w:r>
      <w:bookmarkStart w:id="204" w:name="fnref28_2"/>
      <w:bookmarkEnd w:id="204"/>
      <w:r>
        <w:fldChar w:fldCharType="begin"/>
      </w:r>
      <w:r>
        <w:instrText>HYPERLINK \l "fn28" \h</w:instrText>
      </w:r>
      <w:r>
        <w:fldChar w:fldCharType="separate"/>
      </w:r>
      <w:r>
        <w:rPr>
          <w:rFonts w:ascii="inter" w:eastAsia="inter" w:hAnsi="inter" w:cs="inter"/>
          <w:u w:val="single"/>
          <w:vertAlign w:val="superscript"/>
        </w:rPr>
        <w:t>[28]</w:t>
      </w:r>
      <w:r>
        <w:fldChar w:fldCharType="end"/>
      </w:r>
    </w:p>
    <w:p w14:paraId="25C3F1E6" w14:textId="77777777" w:rsidR="00CB47B0" w:rsidRDefault="00000000">
      <w:pPr>
        <w:spacing w:before="315" w:after="105" w:line="360" w:lineRule="auto"/>
        <w:ind w:left="-30"/>
      </w:pPr>
      <w:bookmarkStart w:id="205" w:name="trade_barriers_tariffs_and_certif_40b4cc"/>
      <w:r>
        <w:rPr>
          <w:rFonts w:ascii="inter" w:eastAsia="inter" w:hAnsi="inter" w:cs="inter"/>
          <w:b/>
          <w:color w:val="000000"/>
          <w:sz w:val="24"/>
        </w:rPr>
        <w:t>Trade Barriers, Tariffs, and Certifications</w:t>
      </w:r>
      <w:bookmarkEnd w:id="205"/>
    </w:p>
    <w:p w14:paraId="6923D9BF" w14:textId="77777777" w:rsidR="00CB47B0" w:rsidRDefault="00000000">
      <w:pPr>
        <w:spacing w:after="210" w:line="360" w:lineRule="auto"/>
      </w:pPr>
      <w:r>
        <w:rPr>
          <w:rFonts w:ascii="inter" w:eastAsia="inter" w:hAnsi="inter" w:cs="inter"/>
          <w:color w:val="000000"/>
        </w:rPr>
        <w:t>The trade environment for renewable energy equipment and services in Vietnam faces significant uncertainty due to evolving international trade dynamics, particularly involving United States tariffs and bilateral trade relationships. Recent US antidumping and countervailing tariffs of up to 3,521% on solar cells and modules from Cambodia, Malaysia, Thailand, and Vietnam have created substantial disruption in solar supply chains. While these tariffs target Chinese transshipment through Southeast Asian manufacturing, they create broader uncertainty affecting investor sentiment and capital mobilization for renewable energy projects.</w:t>
      </w:r>
      <w:bookmarkStart w:id="206" w:name="fnref55"/>
      <w:bookmarkEnd w:id="206"/>
      <w:r>
        <w:fldChar w:fldCharType="begin"/>
      </w:r>
      <w:r>
        <w:instrText>HYPERLINK \l "fn55" \h</w:instrText>
      </w:r>
      <w:r>
        <w:fldChar w:fldCharType="separate"/>
      </w:r>
      <w:r>
        <w:rPr>
          <w:rFonts w:ascii="inter" w:eastAsia="inter" w:hAnsi="inter" w:cs="inter"/>
          <w:u w:val="single"/>
          <w:vertAlign w:val="superscript"/>
        </w:rPr>
        <w:t>[55]</w:t>
      </w:r>
      <w:r>
        <w:fldChar w:fldCharType="end"/>
      </w:r>
      <w:bookmarkStart w:id="207" w:name="fnref5_2"/>
      <w:bookmarkEnd w:id="207"/>
      <w:r>
        <w:fldChar w:fldCharType="begin"/>
      </w:r>
      <w:r>
        <w:instrText>HYPERLINK \l "fn5" \h</w:instrText>
      </w:r>
      <w:r>
        <w:fldChar w:fldCharType="separate"/>
      </w:r>
      <w:r>
        <w:rPr>
          <w:rFonts w:ascii="inter" w:eastAsia="inter" w:hAnsi="inter" w:cs="inter"/>
          <w:u w:val="single"/>
          <w:vertAlign w:val="superscript"/>
        </w:rPr>
        <w:t>[5]</w:t>
      </w:r>
      <w:r>
        <w:fldChar w:fldCharType="end"/>
      </w:r>
    </w:p>
    <w:p w14:paraId="1F656262" w14:textId="77777777" w:rsidR="00CB47B0" w:rsidRDefault="00000000">
      <w:pPr>
        <w:spacing w:after="210" w:line="360" w:lineRule="auto"/>
      </w:pPr>
      <w:r>
        <w:rPr>
          <w:rFonts w:ascii="inter" w:eastAsia="inter" w:hAnsi="inter" w:cs="inter"/>
          <w:color w:val="000000"/>
        </w:rPr>
        <w:t>The impact of US tariffs extends beyond direct trade effects to influence Vietnam's overall investment climate. Vietnam's total exports could fall by up to 40% if severe tariff scenarios persist, according to OCBC Bank estimates. The Vietnamese dong fell to record lows against the US dollar on tariff concerns in February 2025, raising costs for coal and LNG fuel imports priced in dollars. This currency volatility and trade uncertainty can affect power supply costs and project economics, creating risks that developers and suppliers must carefully assess.</w:t>
      </w:r>
      <w:bookmarkStart w:id="208" w:name="fnref5_3"/>
      <w:bookmarkEnd w:id="208"/>
      <w:r>
        <w:fldChar w:fldCharType="begin"/>
      </w:r>
      <w:r>
        <w:instrText>HYPERLINK \l "fn5" \h</w:instrText>
      </w:r>
      <w:r>
        <w:fldChar w:fldCharType="separate"/>
      </w:r>
      <w:r>
        <w:rPr>
          <w:rFonts w:ascii="inter" w:eastAsia="inter" w:hAnsi="inter" w:cs="inter"/>
          <w:u w:val="single"/>
          <w:vertAlign w:val="superscript"/>
        </w:rPr>
        <w:t>[5]</w:t>
      </w:r>
      <w:r>
        <w:fldChar w:fldCharType="end"/>
      </w:r>
    </w:p>
    <w:p w14:paraId="0F7C15F5" w14:textId="77777777" w:rsidR="00CB47B0" w:rsidRDefault="00000000">
      <w:pPr>
        <w:spacing w:after="210" w:line="360" w:lineRule="auto"/>
      </w:pPr>
      <w:r>
        <w:rPr>
          <w:rFonts w:ascii="inter" w:eastAsia="inter" w:hAnsi="inter" w:cs="inter"/>
          <w:color w:val="000000"/>
        </w:rPr>
        <w:t>For North East Scotland companies, the UK's trade relationship with Vietnam provides some insulation from US-China trade tensions while creating opportunities. The UK-Vietnam Free Trade Agreement, continuing arrangements established through the EU-Vietnam FTA prior to Brexit, provides preferential market access for UK goods and services. This framework potentially provides UK suppliers advantages relative to competitors subject to higher tariffs or trade restrictions, particularly for specialized equipment and services where UK technological leadership is established.</w:t>
      </w:r>
      <w:bookmarkStart w:id="209" w:name="fnref7_1"/>
      <w:bookmarkEnd w:id="209"/>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210" w:name="fnref34_3"/>
      <w:bookmarkEnd w:id="210"/>
      <w:r>
        <w:fldChar w:fldCharType="begin"/>
      </w:r>
      <w:r>
        <w:instrText>HYPERLINK \l "fn34" \h</w:instrText>
      </w:r>
      <w:r>
        <w:fldChar w:fldCharType="separate"/>
      </w:r>
      <w:r>
        <w:rPr>
          <w:rFonts w:ascii="inter" w:eastAsia="inter" w:hAnsi="inter" w:cs="inter"/>
          <w:u w:val="single"/>
          <w:vertAlign w:val="superscript"/>
        </w:rPr>
        <w:t>[34]</w:t>
      </w:r>
      <w:r>
        <w:fldChar w:fldCharType="end"/>
      </w:r>
      <w:bookmarkStart w:id="211" w:name="fnref31_7"/>
      <w:bookmarkEnd w:id="211"/>
      <w:r>
        <w:fldChar w:fldCharType="begin"/>
      </w:r>
      <w:r>
        <w:instrText>HYPERLINK \l "fn31" \h</w:instrText>
      </w:r>
      <w:r>
        <w:fldChar w:fldCharType="separate"/>
      </w:r>
      <w:r>
        <w:rPr>
          <w:rFonts w:ascii="inter" w:eastAsia="inter" w:hAnsi="inter" w:cs="inter"/>
          <w:u w:val="single"/>
          <w:vertAlign w:val="superscript"/>
        </w:rPr>
        <w:t>[31]</w:t>
      </w:r>
      <w:r>
        <w:fldChar w:fldCharType="end"/>
      </w:r>
    </w:p>
    <w:p w14:paraId="26630F01" w14:textId="77777777" w:rsidR="00CB47B0" w:rsidRDefault="00000000">
      <w:pPr>
        <w:spacing w:after="210" w:line="360" w:lineRule="auto"/>
      </w:pPr>
      <w:r>
        <w:rPr>
          <w:rFonts w:ascii="inter" w:eastAsia="inter" w:hAnsi="inter" w:cs="inter"/>
          <w:color w:val="000000"/>
        </w:rPr>
        <w:t>Technical standards and certifications represent another dimension of market access requirements. Vietnamese authorities increasingly reference international standards including International Electrotechnical Commission (IEC) standards for electrical equipment, American Petroleum Institute (API) standards for oil and gas equipment, and Det Norske Veritas (DNV) or other international certification body standards for offshore structures. North East Scotland companies' extensive experience meeting rigorous North Sea certification requirements and international standards positions them favorably for Vietnamese market requirements.</w:t>
      </w:r>
      <w:bookmarkStart w:id="212" w:name="fnref56"/>
      <w:bookmarkEnd w:id="212"/>
      <w:r>
        <w:fldChar w:fldCharType="begin"/>
      </w:r>
      <w:r>
        <w:instrText>HYPERLINK \l "fn56" \h</w:instrText>
      </w:r>
      <w:r>
        <w:fldChar w:fldCharType="separate"/>
      </w:r>
      <w:r>
        <w:rPr>
          <w:rFonts w:ascii="inter" w:eastAsia="inter" w:hAnsi="inter" w:cs="inter"/>
          <w:u w:val="single"/>
          <w:vertAlign w:val="superscript"/>
        </w:rPr>
        <w:t>[56]</w:t>
      </w:r>
      <w:r>
        <w:fldChar w:fldCharType="end"/>
      </w:r>
      <w:bookmarkStart w:id="213" w:name="fnref28_3"/>
      <w:bookmarkEnd w:id="213"/>
      <w:r>
        <w:fldChar w:fldCharType="begin"/>
      </w:r>
      <w:r>
        <w:instrText>HYPERLINK \l "fn28" \h</w:instrText>
      </w:r>
      <w:r>
        <w:fldChar w:fldCharType="separate"/>
      </w:r>
      <w:r>
        <w:rPr>
          <w:rFonts w:ascii="inter" w:eastAsia="inter" w:hAnsi="inter" w:cs="inter"/>
          <w:u w:val="single"/>
          <w:vertAlign w:val="superscript"/>
        </w:rPr>
        <w:t>[28]</w:t>
      </w:r>
      <w:r>
        <w:fldChar w:fldCharType="end"/>
      </w:r>
      <w:bookmarkStart w:id="214" w:name="fnref32_10"/>
      <w:bookmarkEnd w:id="214"/>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215" w:name="fnref22_20"/>
      <w:bookmarkEnd w:id="215"/>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41435947" w14:textId="77777777" w:rsidR="00CB47B0" w:rsidRDefault="00000000">
      <w:pPr>
        <w:spacing w:after="210" w:line="360" w:lineRule="auto"/>
      </w:pPr>
      <w:r>
        <w:rPr>
          <w:rFonts w:ascii="inter" w:eastAsia="inter" w:hAnsi="inter" w:cs="inter"/>
          <w:color w:val="000000"/>
        </w:rPr>
        <w:t xml:space="preserve">Sustainable aviation fuel (SAF) development in Vietnam illustrates the importance of international certification and standards compliance. </w:t>
      </w:r>
      <w:proofErr w:type="spellStart"/>
      <w:r>
        <w:rPr>
          <w:rFonts w:ascii="inter" w:eastAsia="inter" w:hAnsi="inter" w:cs="inter"/>
          <w:color w:val="000000"/>
        </w:rPr>
        <w:t>Petrolimex</w:t>
      </w:r>
      <w:proofErr w:type="spellEnd"/>
      <w:r>
        <w:rPr>
          <w:rFonts w:ascii="inter" w:eastAsia="inter" w:hAnsi="inter" w:cs="inter"/>
          <w:color w:val="000000"/>
        </w:rPr>
        <w:t xml:space="preserve">, Vietnam's first company to import synthetic blending components and master SAF blending technology, ensures compliance with strict international standards including EI 1533, ASTM D7566, DEF STAN 91-091, and Vietnamese standard TCVN 14414:2025. The company provided Proof of Sustainability according to ISCC EU standards for </w:t>
      </w:r>
      <w:proofErr w:type="spellStart"/>
      <w:r>
        <w:rPr>
          <w:rFonts w:ascii="inter" w:eastAsia="inter" w:hAnsi="inter" w:cs="inter"/>
          <w:color w:val="000000"/>
        </w:rPr>
        <w:t>Vietjet</w:t>
      </w:r>
      <w:proofErr w:type="spellEnd"/>
      <w:r>
        <w:rPr>
          <w:rFonts w:ascii="inter" w:eastAsia="inter" w:hAnsi="inter" w:cs="inter"/>
          <w:color w:val="000000"/>
        </w:rPr>
        <w:t xml:space="preserve"> flights, demonstrating the certification rigor required for international market access. This precedent suggests that renewable energy projects in Vietnam will increasingly require international sustainability certifications, an area where North East Scotland companies' experience with UK and European certification frameworks provides advantages.</w:t>
      </w:r>
      <w:bookmarkStart w:id="216" w:name="fnref57"/>
      <w:bookmarkEnd w:id="216"/>
      <w:r>
        <w:fldChar w:fldCharType="begin"/>
      </w:r>
      <w:r>
        <w:instrText>HYPERLINK \l "fn57" \h</w:instrText>
      </w:r>
      <w:r>
        <w:fldChar w:fldCharType="separate"/>
      </w:r>
      <w:r>
        <w:rPr>
          <w:rFonts w:ascii="inter" w:eastAsia="inter" w:hAnsi="inter" w:cs="inter"/>
          <w:u w:val="single"/>
          <w:vertAlign w:val="superscript"/>
        </w:rPr>
        <w:t>[57]</w:t>
      </w:r>
      <w:r>
        <w:fldChar w:fldCharType="end"/>
      </w:r>
      <w:bookmarkStart w:id="217" w:name="fnref58"/>
      <w:bookmarkEnd w:id="217"/>
      <w:r>
        <w:fldChar w:fldCharType="begin"/>
      </w:r>
      <w:r>
        <w:instrText>HYPERLINK \l "fn58" \h</w:instrText>
      </w:r>
      <w:r>
        <w:fldChar w:fldCharType="separate"/>
      </w:r>
      <w:r>
        <w:rPr>
          <w:rFonts w:ascii="inter" w:eastAsia="inter" w:hAnsi="inter" w:cs="inter"/>
          <w:u w:val="single"/>
          <w:vertAlign w:val="superscript"/>
        </w:rPr>
        <w:t>[58]</w:t>
      </w:r>
      <w:r>
        <w:fldChar w:fldCharType="end"/>
      </w:r>
    </w:p>
    <w:p w14:paraId="4FC4D04F" w14:textId="77777777" w:rsidR="00CB47B0" w:rsidRDefault="00000000">
      <w:pPr>
        <w:spacing w:before="315" w:after="105" w:line="360" w:lineRule="auto"/>
        <w:ind w:left="-30"/>
      </w:pPr>
      <w:bookmarkStart w:id="218" w:name="direct_power_purchase_agreements_2074ab"/>
      <w:r>
        <w:rPr>
          <w:rFonts w:ascii="inter" w:eastAsia="inter" w:hAnsi="inter" w:cs="inter"/>
          <w:b/>
          <w:color w:val="000000"/>
          <w:sz w:val="24"/>
        </w:rPr>
        <w:t>Direct Power Purchase Agreements and Market Mechanisms</w:t>
      </w:r>
      <w:bookmarkEnd w:id="218"/>
    </w:p>
    <w:p w14:paraId="4C784688" w14:textId="77777777" w:rsidR="00CB47B0" w:rsidRDefault="00000000">
      <w:pPr>
        <w:spacing w:after="210" w:line="360" w:lineRule="auto"/>
      </w:pPr>
      <w:r>
        <w:rPr>
          <w:rFonts w:ascii="inter" w:eastAsia="inter" w:hAnsi="inter" w:cs="inter"/>
          <w:color w:val="000000"/>
        </w:rPr>
        <w:t>The introduction of direct power purchase agreements (DPPAs) represents a transformative regulatory development creating new market opportunities for renewable energy developers and industrial consumers. Decree 57/2025/ND-CP, implemented in September 2025, establishes the regulatory framework for DPPAs while introducing important modifications to previous approaches. The decree provides flexible eligibility based on Vietnam Wholesale Electricity Market regulations rather than fixed consumption thresholds, expands eligible energy sources to include biomass alongside solar and wind, and introduces ceiling prices for private grid transactions while allowing negotiated rates within these limits.</w:t>
      </w:r>
      <w:bookmarkStart w:id="219" w:name="fnref9_2"/>
      <w:bookmarkEnd w:id="219"/>
      <w:r>
        <w:fldChar w:fldCharType="begin"/>
      </w:r>
      <w:r>
        <w:instrText>HYPERLINK \l "fn9" \h</w:instrText>
      </w:r>
      <w:r>
        <w:fldChar w:fldCharType="separate"/>
      </w:r>
      <w:r>
        <w:rPr>
          <w:rFonts w:ascii="inter" w:eastAsia="inter" w:hAnsi="inter" w:cs="inter"/>
          <w:u w:val="single"/>
          <w:vertAlign w:val="superscript"/>
        </w:rPr>
        <w:t>[9]</w:t>
      </w:r>
      <w:r>
        <w:fldChar w:fldCharType="end"/>
      </w:r>
    </w:p>
    <w:p w14:paraId="3D36B576" w14:textId="77777777" w:rsidR="00CB47B0" w:rsidRDefault="00000000">
      <w:pPr>
        <w:spacing w:after="210" w:line="360" w:lineRule="auto"/>
      </w:pPr>
      <w:r>
        <w:rPr>
          <w:rFonts w:ascii="inter" w:eastAsia="inter" w:hAnsi="inter" w:cs="inter"/>
          <w:color w:val="000000"/>
        </w:rPr>
        <w:t xml:space="preserve">DPPAs address a critical challenge that emerged following expiration of feed-in tariff programs. With </w:t>
      </w:r>
      <w:proofErr w:type="spellStart"/>
      <w:r>
        <w:rPr>
          <w:rFonts w:ascii="inter" w:eastAsia="inter" w:hAnsi="inter" w:cs="inter"/>
          <w:color w:val="000000"/>
        </w:rPr>
        <w:t>FiTs</w:t>
      </w:r>
      <w:proofErr w:type="spellEnd"/>
      <w:r>
        <w:rPr>
          <w:rFonts w:ascii="inter" w:eastAsia="inter" w:hAnsi="inter" w:cs="inter"/>
          <w:color w:val="000000"/>
        </w:rPr>
        <w:t xml:space="preserve"> for solar ending in December 2020 and for wind in October 2021, developers faced uncertainty about revenue mechanisms for projects missing these deadlines. The DPPA framework provides an alternative pathway, enabling corporate consumers—particularly RE100 companies committed to 100% renewable energy—to directly contract with renewable generators. McKinsey analysis indicates that commercial and industrial customers, particularly RE100 companies, are potentially prepared to pay up to 10% green premiums for renewable energy in Vietnam, making projects economically viable under DPPA structures.</w:t>
      </w:r>
      <w:bookmarkStart w:id="220" w:name="fnref8_1"/>
      <w:bookmarkEnd w:id="220"/>
      <w:r>
        <w:fldChar w:fldCharType="begin"/>
      </w:r>
      <w:r>
        <w:instrText>HYPERLINK \l "fn8" \h</w:instrText>
      </w:r>
      <w:r>
        <w:fldChar w:fldCharType="separate"/>
      </w:r>
      <w:r>
        <w:rPr>
          <w:rFonts w:ascii="inter" w:eastAsia="inter" w:hAnsi="inter" w:cs="inter"/>
          <w:u w:val="single"/>
          <w:vertAlign w:val="superscript"/>
        </w:rPr>
        <w:t>[8]</w:t>
      </w:r>
      <w:r>
        <w:fldChar w:fldCharType="end"/>
      </w:r>
      <w:bookmarkStart w:id="221" w:name="fnref13_2"/>
      <w:bookmarkEnd w:id="221"/>
      <w:r>
        <w:fldChar w:fldCharType="begin"/>
      </w:r>
      <w:r>
        <w:instrText>HYPERLINK \l "fn13" \h</w:instrText>
      </w:r>
      <w:r>
        <w:fldChar w:fldCharType="separate"/>
      </w:r>
      <w:r>
        <w:rPr>
          <w:rFonts w:ascii="inter" w:eastAsia="inter" w:hAnsi="inter" w:cs="inter"/>
          <w:u w:val="single"/>
          <w:vertAlign w:val="superscript"/>
        </w:rPr>
        <w:t>[13]</w:t>
      </w:r>
      <w:r>
        <w:fldChar w:fldCharType="end"/>
      </w:r>
      <w:bookmarkStart w:id="222" w:name="fnref3_4"/>
      <w:bookmarkEnd w:id="222"/>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223" w:name="fnref7_2"/>
      <w:bookmarkEnd w:id="223"/>
      <w:r>
        <w:fldChar w:fldCharType="begin"/>
      </w:r>
      <w:r>
        <w:instrText>HYPERLINK \l "fn7" \h</w:instrText>
      </w:r>
      <w:r>
        <w:fldChar w:fldCharType="separate"/>
      </w:r>
      <w:r>
        <w:rPr>
          <w:rFonts w:ascii="inter" w:eastAsia="inter" w:hAnsi="inter" w:cs="inter"/>
          <w:u w:val="single"/>
          <w:vertAlign w:val="superscript"/>
        </w:rPr>
        <w:t>[7]</w:t>
      </w:r>
      <w:r>
        <w:fldChar w:fldCharType="end"/>
      </w:r>
    </w:p>
    <w:p w14:paraId="76DC327A" w14:textId="77777777" w:rsidR="00CB47B0" w:rsidRDefault="00000000">
      <w:pPr>
        <w:spacing w:after="210" w:line="360" w:lineRule="auto"/>
      </w:pPr>
      <w:r>
        <w:rPr>
          <w:rFonts w:ascii="inter" w:eastAsia="inter" w:hAnsi="inter" w:cs="inter"/>
          <w:color w:val="000000"/>
        </w:rPr>
        <w:t>However, DPPA implementation faces challenges requiring careful navigation. Grid connection remains a critical constraint, with Vietnam's weak transmission infrastructure impeding integration of new renewable capacity. The decree allows private transmission lines to connect to the national grid provided they meet Vietnam Electricity's standards, but coordination with EVN and regulatory approvals add complexity. Provincial restructuring from three-tier to two-tier government has created jurisdictional uncertainty, slowing permit processing and approvals. North East Scotland companies can provide value by offering expertise in DPPA structuring, grid connection engineering, and regulatory navigation developed through UK and European renewable energy markets.</w:t>
      </w:r>
      <w:bookmarkStart w:id="224" w:name="fnref16_1"/>
      <w:bookmarkEnd w:id="224"/>
      <w:r>
        <w:fldChar w:fldCharType="begin"/>
      </w:r>
      <w:r>
        <w:instrText>HYPERLINK \l "fn16" \h</w:instrText>
      </w:r>
      <w:r>
        <w:fldChar w:fldCharType="separate"/>
      </w:r>
      <w:r>
        <w:rPr>
          <w:rFonts w:ascii="inter" w:eastAsia="inter" w:hAnsi="inter" w:cs="inter"/>
          <w:u w:val="single"/>
          <w:vertAlign w:val="superscript"/>
        </w:rPr>
        <w:t>[16]</w:t>
      </w:r>
      <w:r>
        <w:fldChar w:fldCharType="end"/>
      </w:r>
      <w:bookmarkStart w:id="225" w:name="fnref9_3"/>
      <w:bookmarkEnd w:id="225"/>
      <w:r>
        <w:fldChar w:fldCharType="begin"/>
      </w:r>
      <w:r>
        <w:instrText>HYPERLINK \l "fn9" \h</w:instrText>
      </w:r>
      <w:r>
        <w:fldChar w:fldCharType="separate"/>
      </w:r>
      <w:r>
        <w:rPr>
          <w:rFonts w:ascii="inter" w:eastAsia="inter" w:hAnsi="inter" w:cs="inter"/>
          <w:u w:val="single"/>
          <w:vertAlign w:val="superscript"/>
        </w:rPr>
        <w:t>[9]</w:t>
      </w:r>
      <w:r>
        <w:fldChar w:fldCharType="end"/>
      </w:r>
      <w:bookmarkStart w:id="226" w:name="fnref33_10"/>
      <w:bookmarkEnd w:id="226"/>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78895E83" w14:textId="77777777" w:rsidR="00CB47B0" w:rsidRDefault="00000000">
      <w:pPr>
        <w:spacing w:after="210" w:line="360" w:lineRule="auto"/>
      </w:pPr>
      <w:r>
        <w:rPr>
          <w:rFonts w:ascii="inter" w:eastAsia="inter" w:hAnsi="inter" w:cs="inter"/>
          <w:color w:val="000000"/>
        </w:rPr>
        <w:t>The competitive auction mechanism planned to replace feed-in tariffs for offshore wind represents another evolving market structure. The Global Wind Energy Council recommends a two-stage competitive model featuring exclusive survey rights in Stage 1 followed by price competition in Stage 2, with 8 GW awarded in survey licenses to ensure sufficient competition for 4 GW of investment agreements. This approach aims to balance ensuring competitive pricing with providing developers sufficient confidence to invest in expensive surveys and development work. Critics worry that poorly designed auction mechanisms could slow project rollout compared to FIT-driven deployment, making careful auction design critical.</w:t>
      </w:r>
      <w:bookmarkStart w:id="227" w:name="fnref11_1"/>
      <w:bookmarkEnd w:id="227"/>
      <w:r>
        <w:fldChar w:fldCharType="begin"/>
      </w:r>
      <w:r>
        <w:instrText>HYPERLINK \l "fn11" \h</w:instrText>
      </w:r>
      <w:r>
        <w:fldChar w:fldCharType="separate"/>
      </w:r>
      <w:r>
        <w:rPr>
          <w:rFonts w:ascii="inter" w:eastAsia="inter" w:hAnsi="inter" w:cs="inter"/>
          <w:u w:val="single"/>
          <w:vertAlign w:val="superscript"/>
        </w:rPr>
        <w:t>[11]</w:t>
      </w:r>
      <w:r>
        <w:fldChar w:fldCharType="end"/>
      </w:r>
      <w:bookmarkStart w:id="228" w:name="fnref10_1"/>
      <w:bookmarkEnd w:id="228"/>
      <w:r>
        <w:fldChar w:fldCharType="begin"/>
      </w:r>
      <w:r>
        <w:instrText>HYPERLINK \l "fn10" \h</w:instrText>
      </w:r>
      <w:r>
        <w:fldChar w:fldCharType="separate"/>
      </w:r>
      <w:r>
        <w:rPr>
          <w:rFonts w:ascii="inter" w:eastAsia="inter" w:hAnsi="inter" w:cs="inter"/>
          <w:u w:val="single"/>
          <w:vertAlign w:val="superscript"/>
        </w:rPr>
        <w:t>[10]</w:t>
      </w:r>
      <w:r>
        <w:fldChar w:fldCharType="end"/>
      </w:r>
      <w:bookmarkStart w:id="229" w:name="fnref29_1"/>
      <w:bookmarkEnd w:id="229"/>
      <w:r>
        <w:fldChar w:fldCharType="begin"/>
      </w:r>
      <w:r>
        <w:instrText>HYPERLINK \l "fn29" \h</w:instrText>
      </w:r>
      <w:r>
        <w:fldChar w:fldCharType="separate"/>
      </w:r>
      <w:r>
        <w:rPr>
          <w:rFonts w:ascii="inter" w:eastAsia="inter" w:hAnsi="inter" w:cs="inter"/>
          <w:u w:val="single"/>
          <w:vertAlign w:val="superscript"/>
        </w:rPr>
        <w:t>[29]</w:t>
      </w:r>
      <w:r>
        <w:fldChar w:fldCharType="end"/>
      </w:r>
    </w:p>
    <w:p w14:paraId="48FBD2E2" w14:textId="77777777" w:rsidR="00CB47B0" w:rsidRDefault="00000000">
      <w:pPr>
        <w:spacing w:before="315" w:after="105" w:line="360" w:lineRule="auto"/>
        <w:ind w:left="-30"/>
      </w:pPr>
      <w:bookmarkStart w:id="230" w:name="investment_protection_and_risk_mi_d7f88a"/>
      <w:r>
        <w:rPr>
          <w:rFonts w:ascii="inter" w:eastAsia="inter" w:hAnsi="inter" w:cs="inter"/>
          <w:b/>
          <w:color w:val="000000"/>
          <w:sz w:val="24"/>
        </w:rPr>
        <w:t>Investment Protection and Risk Mitigation</w:t>
      </w:r>
      <w:bookmarkEnd w:id="230"/>
    </w:p>
    <w:p w14:paraId="7FD5F559" w14:textId="77777777" w:rsidR="00CB47B0" w:rsidRDefault="00000000">
      <w:pPr>
        <w:spacing w:after="210" w:line="360" w:lineRule="auto"/>
      </w:pPr>
      <w:r>
        <w:rPr>
          <w:rFonts w:ascii="inter" w:eastAsia="inter" w:hAnsi="inter" w:cs="inter"/>
          <w:color w:val="000000"/>
        </w:rPr>
        <w:t>Vietnam's investment protection framework combines domestic regulations with international treaties providing recourse for foreign investors. The country has bilateral investment treaties (BITs) with numerous nations including the UK, providing protections against expropriation, ensuring fair and equitable treatment, and enabling international arbitration for investment disputes. These protections prove particularly important given concerns about retroactive policy changes following Vietnamese authorities' moves to retroactively revise purchase prices for 173 solar and wind projects, potentially reducing revenues by 25-46%.</w:t>
      </w:r>
      <w:bookmarkStart w:id="231" w:name="fnref8_2"/>
      <w:bookmarkEnd w:id="231"/>
      <w:r>
        <w:fldChar w:fldCharType="begin"/>
      </w:r>
      <w:r>
        <w:instrText>HYPERLINK \l "fn8" \h</w:instrText>
      </w:r>
      <w:r>
        <w:fldChar w:fldCharType="separate"/>
      </w:r>
      <w:r>
        <w:rPr>
          <w:rFonts w:ascii="inter" w:eastAsia="inter" w:hAnsi="inter" w:cs="inter"/>
          <w:u w:val="single"/>
          <w:vertAlign w:val="superscript"/>
        </w:rPr>
        <w:t>[8]</w:t>
      </w:r>
      <w:r>
        <w:fldChar w:fldCharType="end"/>
      </w:r>
      <w:bookmarkStart w:id="232" w:name="fnref7_3"/>
      <w:bookmarkEnd w:id="232"/>
      <w:r>
        <w:fldChar w:fldCharType="begin"/>
      </w:r>
      <w:r>
        <w:instrText>HYPERLINK \l "fn7" \h</w:instrText>
      </w:r>
      <w:r>
        <w:fldChar w:fldCharType="separate"/>
      </w:r>
      <w:r>
        <w:rPr>
          <w:rFonts w:ascii="inter" w:eastAsia="inter" w:hAnsi="inter" w:cs="inter"/>
          <w:u w:val="single"/>
          <w:vertAlign w:val="superscript"/>
        </w:rPr>
        <w:t>[7]</w:t>
      </w:r>
      <w:r>
        <w:fldChar w:fldCharType="end"/>
      </w:r>
    </w:p>
    <w:p w14:paraId="4E3261F3" w14:textId="77777777" w:rsidR="00CB47B0" w:rsidRDefault="00000000">
      <w:pPr>
        <w:spacing w:after="210" w:line="360" w:lineRule="auto"/>
      </w:pPr>
      <w:r>
        <w:rPr>
          <w:rFonts w:ascii="inter" w:eastAsia="inter" w:hAnsi="inter" w:cs="inter"/>
          <w:color w:val="000000"/>
        </w:rPr>
        <w:t>The retroactive pricing controversy illustrates investment risks requiring careful mitigation strategies. In March 2025, the Vietnam Chamber of Commerce and Industry warned Parliament that if EVN proceeds with retroactive price revisions, it could trigger bankruptcies across the renewable energy sector and jeopardize investor trust. Such policy reversals risk derailing Vietnam's clean energy ambitions, potentially causing international investors to divert capital to more stable regulatory environments. For North East Scotland companies, this environment suggests careful contract structuring, political risk insurance consideration, partnership with well-connected Vietnamese entities, and phased investment approaches that limit exposure until regulatory stability improves.</w:t>
      </w:r>
      <w:bookmarkStart w:id="233" w:name="fnref13_3"/>
      <w:bookmarkEnd w:id="233"/>
      <w:r>
        <w:fldChar w:fldCharType="begin"/>
      </w:r>
      <w:r>
        <w:instrText>HYPERLINK \l "fn13" \h</w:instrText>
      </w:r>
      <w:r>
        <w:fldChar w:fldCharType="separate"/>
      </w:r>
      <w:r>
        <w:rPr>
          <w:rFonts w:ascii="inter" w:eastAsia="inter" w:hAnsi="inter" w:cs="inter"/>
          <w:u w:val="single"/>
          <w:vertAlign w:val="superscript"/>
        </w:rPr>
        <w:t>[13]</w:t>
      </w:r>
      <w:r>
        <w:fldChar w:fldCharType="end"/>
      </w:r>
      <w:bookmarkStart w:id="234" w:name="fnref5_4"/>
      <w:bookmarkEnd w:id="234"/>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235" w:name="fnref8_3"/>
      <w:bookmarkEnd w:id="235"/>
      <w:r>
        <w:fldChar w:fldCharType="begin"/>
      </w:r>
      <w:r>
        <w:instrText>HYPERLINK \l "fn8" \h</w:instrText>
      </w:r>
      <w:r>
        <w:fldChar w:fldCharType="separate"/>
      </w:r>
      <w:r>
        <w:rPr>
          <w:rFonts w:ascii="inter" w:eastAsia="inter" w:hAnsi="inter" w:cs="inter"/>
          <w:u w:val="single"/>
          <w:vertAlign w:val="superscript"/>
        </w:rPr>
        <w:t>[8]</w:t>
      </w:r>
      <w:r>
        <w:fldChar w:fldCharType="end"/>
      </w:r>
    </w:p>
    <w:p w14:paraId="7DE4829D" w14:textId="77777777" w:rsidR="00CB47B0" w:rsidRDefault="00000000">
      <w:pPr>
        <w:spacing w:after="210" w:line="360" w:lineRule="auto"/>
      </w:pPr>
      <w:r>
        <w:rPr>
          <w:rFonts w:ascii="inter" w:eastAsia="inter" w:hAnsi="inter" w:cs="inter"/>
          <w:color w:val="000000"/>
        </w:rPr>
        <w:t>Project finance structures and international development finance institution participation can provide additional risk mitigation. The Just Energy Transition Partnership provides $15.5 billion in initial financing, with potential for leveraging additional private capital. Multilateral development banks including the World Bank, Asian Development Bank, and International Finance Corporation provide project financing for renewable energy developments, often with political risk coverage and policy dialogue with Vietnamese authorities. North East Scotland companies can position themselves to participate in projects supported by these institutions, benefiting from enhanced risk mitigation and government commitment.</w:t>
      </w:r>
      <w:bookmarkStart w:id="236" w:name="fnref3_5"/>
      <w:bookmarkEnd w:id="236"/>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237" w:name="fnref20_2"/>
      <w:bookmarkEnd w:id="237"/>
      <w:r>
        <w:fldChar w:fldCharType="begin"/>
      </w:r>
      <w:r>
        <w:instrText>HYPERLINK \l "fn20" \h</w:instrText>
      </w:r>
      <w:r>
        <w:fldChar w:fldCharType="separate"/>
      </w:r>
      <w:r>
        <w:rPr>
          <w:rFonts w:ascii="inter" w:eastAsia="inter" w:hAnsi="inter" w:cs="inter"/>
          <w:u w:val="single"/>
          <w:vertAlign w:val="superscript"/>
        </w:rPr>
        <w:t>[20]</w:t>
      </w:r>
      <w:r>
        <w:fldChar w:fldCharType="end"/>
      </w:r>
    </w:p>
    <w:p w14:paraId="4273AAFC" w14:textId="77777777" w:rsidR="00CB47B0" w:rsidRDefault="00000000">
      <w:pPr>
        <w:spacing w:after="210" w:line="360" w:lineRule="auto"/>
      </w:pPr>
      <w:r>
        <w:rPr>
          <w:rFonts w:ascii="inter" w:eastAsia="inter" w:hAnsi="inter" w:cs="inter"/>
          <w:color w:val="000000"/>
        </w:rPr>
        <w:t xml:space="preserve">Joint venture structures with Vietnamese state-owned enterprises or well-established private companies offer another risk mitigation approach. Examples include Ørsted's partnerships with T&amp;T Group, Equinor's MoU with PetroVietnam, and Copenhagen Infrastructure Partners' collaboration with </w:t>
      </w:r>
      <w:proofErr w:type="spellStart"/>
      <w:r>
        <w:rPr>
          <w:rFonts w:ascii="inter" w:eastAsia="inter" w:hAnsi="inter" w:cs="inter"/>
          <w:color w:val="000000"/>
        </w:rPr>
        <w:t>Novasia</w:t>
      </w:r>
      <w:proofErr w:type="spellEnd"/>
      <w:r>
        <w:rPr>
          <w:rFonts w:ascii="inter" w:eastAsia="inter" w:hAnsi="inter" w:cs="inter"/>
          <w:color w:val="000000"/>
        </w:rPr>
        <w:t xml:space="preserve"> Energy and Asia Petroleum Energy. These partnerships provide local market knowledge, government relationships, and shared risk while potentially satisfying future local content requirements. For North East Scotland companies, identifying credible Vietnamese partners—potentially through chambers of commerce, trade missions, and government trade support programs—represents a critical early step in market entry.</w:t>
      </w:r>
      <w:bookmarkStart w:id="238" w:name="fnref59"/>
      <w:bookmarkEnd w:id="238"/>
      <w:r>
        <w:fldChar w:fldCharType="begin"/>
      </w:r>
      <w:r>
        <w:instrText>HYPERLINK \l "fn59" \h</w:instrText>
      </w:r>
      <w:r>
        <w:fldChar w:fldCharType="separate"/>
      </w:r>
      <w:r>
        <w:rPr>
          <w:rFonts w:ascii="inter" w:eastAsia="inter" w:hAnsi="inter" w:cs="inter"/>
          <w:u w:val="single"/>
          <w:vertAlign w:val="superscript"/>
        </w:rPr>
        <w:t>[59]</w:t>
      </w:r>
      <w:r>
        <w:fldChar w:fldCharType="end"/>
      </w:r>
      <w:bookmarkStart w:id="239" w:name="fnref53_1"/>
      <w:bookmarkEnd w:id="239"/>
      <w:r>
        <w:fldChar w:fldCharType="begin"/>
      </w:r>
      <w:r>
        <w:instrText>HYPERLINK \l "fn53" \h</w:instrText>
      </w:r>
      <w:r>
        <w:fldChar w:fldCharType="separate"/>
      </w:r>
      <w:r>
        <w:rPr>
          <w:rFonts w:ascii="inter" w:eastAsia="inter" w:hAnsi="inter" w:cs="inter"/>
          <w:u w:val="single"/>
          <w:vertAlign w:val="superscript"/>
        </w:rPr>
        <w:t>[53]</w:t>
      </w:r>
      <w:r>
        <w:fldChar w:fldCharType="end"/>
      </w:r>
      <w:bookmarkStart w:id="240" w:name="fnref42_3"/>
      <w:bookmarkEnd w:id="240"/>
      <w:r>
        <w:fldChar w:fldCharType="begin"/>
      </w:r>
      <w:r>
        <w:instrText>HYPERLINK \l "fn42" \h</w:instrText>
      </w:r>
      <w:r>
        <w:fldChar w:fldCharType="separate"/>
      </w:r>
      <w:r>
        <w:rPr>
          <w:rFonts w:ascii="inter" w:eastAsia="inter" w:hAnsi="inter" w:cs="inter"/>
          <w:u w:val="single"/>
          <w:vertAlign w:val="superscript"/>
        </w:rPr>
        <w:t>[42]</w:t>
      </w:r>
      <w:r>
        <w:fldChar w:fldCharType="end"/>
      </w:r>
      <w:bookmarkStart w:id="241" w:name="fnref30_3"/>
      <w:bookmarkEnd w:id="241"/>
      <w:r>
        <w:fldChar w:fldCharType="begin"/>
      </w:r>
      <w:r>
        <w:instrText>HYPERLINK \l "fn30" \h</w:instrText>
      </w:r>
      <w:r>
        <w:fldChar w:fldCharType="separate"/>
      </w:r>
      <w:r>
        <w:rPr>
          <w:rFonts w:ascii="inter" w:eastAsia="inter" w:hAnsi="inter" w:cs="inter"/>
          <w:u w:val="single"/>
          <w:vertAlign w:val="superscript"/>
        </w:rPr>
        <w:t>[30]</w:t>
      </w:r>
      <w:r>
        <w:fldChar w:fldCharType="end"/>
      </w:r>
      <w:bookmarkStart w:id="242" w:name="fnref38_5"/>
      <w:bookmarkEnd w:id="242"/>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243" w:name="fnref21_7"/>
      <w:bookmarkEnd w:id="243"/>
      <w:r>
        <w:fldChar w:fldCharType="begin"/>
      </w:r>
      <w:r>
        <w:instrText>HYPERLINK \l "fn21" \h</w:instrText>
      </w:r>
      <w:r>
        <w:fldChar w:fldCharType="separate"/>
      </w:r>
      <w:r>
        <w:rPr>
          <w:rFonts w:ascii="inter" w:eastAsia="inter" w:hAnsi="inter" w:cs="inter"/>
          <w:u w:val="single"/>
          <w:vertAlign w:val="superscript"/>
        </w:rPr>
        <w:t>[21]</w:t>
      </w:r>
      <w:r>
        <w:fldChar w:fldCharType="end"/>
      </w:r>
    </w:p>
    <w:p w14:paraId="6A735964" w14:textId="77777777" w:rsidR="00CB47B0" w:rsidRDefault="00000000" w:rsidP="00A460CE">
      <w:pPr>
        <w:pStyle w:val="Heading1"/>
      </w:pPr>
      <w:bookmarkStart w:id="244" w:name="competitive_environment"/>
      <w:r>
        <w:rPr>
          <w:rFonts w:eastAsia="inter"/>
        </w:rPr>
        <w:t>Competitive Environment</w:t>
      </w:r>
      <w:bookmarkEnd w:id="244"/>
    </w:p>
    <w:p w14:paraId="663934FB" w14:textId="77777777" w:rsidR="00CB47B0" w:rsidRDefault="00000000">
      <w:pPr>
        <w:spacing w:before="315" w:after="105" w:line="360" w:lineRule="auto"/>
        <w:ind w:left="-30"/>
      </w:pPr>
      <w:bookmarkStart w:id="245" w:name="international_players_and_market_309f87"/>
      <w:r>
        <w:rPr>
          <w:rFonts w:ascii="inter" w:eastAsia="inter" w:hAnsi="inter" w:cs="inter"/>
          <w:b/>
          <w:color w:val="000000"/>
          <w:sz w:val="24"/>
        </w:rPr>
        <w:t>International Players and Market Dynamics</w:t>
      </w:r>
      <w:bookmarkEnd w:id="245"/>
    </w:p>
    <w:p w14:paraId="3BB2715A" w14:textId="77777777" w:rsidR="00CB47B0" w:rsidRDefault="00000000">
      <w:pPr>
        <w:spacing w:after="210" w:line="360" w:lineRule="auto"/>
      </w:pPr>
      <w:r>
        <w:rPr>
          <w:rFonts w:ascii="inter" w:eastAsia="inter" w:hAnsi="inter" w:cs="inter"/>
          <w:color w:val="000000"/>
        </w:rPr>
        <w:t xml:space="preserve">Vietnam's offshore low-carbon energy sector attracts intense competition from international developers, technology suppliers, and service providers representing diverse geographies and business models. In offshore wind, European developers lead project development efforts, with Ørsted (Denmark), Copenhagen Infrastructure Partners (Denmark), Equinor (Norway), and </w:t>
      </w:r>
      <w:proofErr w:type="spellStart"/>
      <w:r>
        <w:rPr>
          <w:rFonts w:ascii="inter" w:eastAsia="inter" w:hAnsi="inter" w:cs="inter"/>
          <w:color w:val="000000"/>
        </w:rPr>
        <w:t>Enterprize</w:t>
      </w:r>
      <w:proofErr w:type="spellEnd"/>
      <w:r>
        <w:rPr>
          <w:rFonts w:ascii="inter" w:eastAsia="inter" w:hAnsi="inter" w:cs="inter"/>
          <w:color w:val="000000"/>
        </w:rPr>
        <w:t xml:space="preserve"> Energy (Singapore with European principals) controlling the largest project pipeline. Asian developers including T&amp;T Group (Vietnam), Asia Petroleum Energy (Vietnam/Singapore), and multiple Japanese and South Korean entities increasingly participate, often through joint ventures with European partners bringing technical expertise.</w:t>
      </w:r>
      <w:bookmarkStart w:id="246" w:name="fnref43_2"/>
      <w:bookmarkEnd w:id="246"/>
      <w:r>
        <w:fldChar w:fldCharType="begin"/>
      </w:r>
      <w:r>
        <w:instrText>HYPERLINK \l "fn43" \h</w:instrText>
      </w:r>
      <w:r>
        <w:fldChar w:fldCharType="separate"/>
      </w:r>
      <w:r>
        <w:rPr>
          <w:rFonts w:ascii="inter" w:eastAsia="inter" w:hAnsi="inter" w:cs="inter"/>
          <w:u w:val="single"/>
          <w:vertAlign w:val="superscript"/>
        </w:rPr>
        <w:t>[43]</w:t>
      </w:r>
      <w:r>
        <w:fldChar w:fldCharType="end"/>
      </w:r>
      <w:bookmarkStart w:id="247" w:name="fnref42_4"/>
      <w:bookmarkEnd w:id="247"/>
      <w:r>
        <w:fldChar w:fldCharType="begin"/>
      </w:r>
      <w:r>
        <w:instrText>HYPERLINK \l "fn42" \h</w:instrText>
      </w:r>
      <w:r>
        <w:fldChar w:fldCharType="separate"/>
      </w:r>
      <w:r>
        <w:rPr>
          <w:rFonts w:ascii="inter" w:eastAsia="inter" w:hAnsi="inter" w:cs="inter"/>
          <w:u w:val="single"/>
          <w:vertAlign w:val="superscript"/>
        </w:rPr>
        <w:t>[42]</w:t>
      </w:r>
      <w:r>
        <w:fldChar w:fldCharType="end"/>
      </w:r>
      <w:bookmarkStart w:id="248" w:name="fnref59_1"/>
      <w:bookmarkEnd w:id="248"/>
      <w:r>
        <w:fldChar w:fldCharType="begin"/>
      </w:r>
      <w:r>
        <w:instrText>HYPERLINK \l "fn59" \h</w:instrText>
      </w:r>
      <w:r>
        <w:fldChar w:fldCharType="separate"/>
      </w:r>
      <w:r>
        <w:rPr>
          <w:rFonts w:ascii="inter" w:eastAsia="inter" w:hAnsi="inter" w:cs="inter"/>
          <w:u w:val="single"/>
          <w:vertAlign w:val="superscript"/>
        </w:rPr>
        <w:t>[59]</w:t>
      </w:r>
      <w:r>
        <w:fldChar w:fldCharType="end"/>
      </w:r>
    </w:p>
    <w:p w14:paraId="47B36050" w14:textId="77777777" w:rsidR="00CB47B0" w:rsidRDefault="00000000">
      <w:pPr>
        <w:spacing w:after="210" w:line="360" w:lineRule="auto"/>
      </w:pPr>
      <w:r>
        <w:rPr>
          <w:rFonts w:ascii="inter" w:eastAsia="inter" w:hAnsi="inter" w:cs="inter"/>
          <w:color w:val="000000"/>
        </w:rPr>
        <w:t xml:space="preserve">The competitive landscape exhibits concentration among major players while new entrants continuously emerge. Consolidation among large-scale developers—both local firms like </w:t>
      </w:r>
      <w:proofErr w:type="spellStart"/>
      <w:r>
        <w:rPr>
          <w:rFonts w:ascii="inter" w:eastAsia="inter" w:hAnsi="inter" w:cs="inter"/>
          <w:color w:val="000000"/>
        </w:rPr>
        <w:t>Trungnam</w:t>
      </w:r>
      <w:proofErr w:type="spellEnd"/>
      <w:r>
        <w:rPr>
          <w:rFonts w:ascii="inter" w:eastAsia="inter" w:hAnsi="inter" w:cs="inter"/>
          <w:color w:val="000000"/>
        </w:rPr>
        <w:t xml:space="preserve"> Group and PCC1, and international players like Ørsted and CIP—highlights these organizations' influence in shaping project pipelines, securing port access, and negotiating power purchase agreements. These major players hold sway through expertise in offshore project execution, access to finance, and strategic partnerships, creating barriers to entry for smaller competitors. However, the massive scale of Vietnam's offshore wind ambitions (70-91 GW by 2050) ensures sufficient market opportunity for multiple developers and extensive supply chains.</w:t>
      </w:r>
      <w:bookmarkStart w:id="249" w:name="fnref1_4"/>
      <w:bookmarkEnd w:id="249"/>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250" w:name="fnref59_2"/>
      <w:bookmarkEnd w:id="250"/>
      <w:r>
        <w:fldChar w:fldCharType="begin"/>
      </w:r>
      <w:r>
        <w:instrText>HYPERLINK \l "fn59" \h</w:instrText>
      </w:r>
      <w:r>
        <w:fldChar w:fldCharType="separate"/>
      </w:r>
      <w:r>
        <w:rPr>
          <w:rFonts w:ascii="inter" w:eastAsia="inter" w:hAnsi="inter" w:cs="inter"/>
          <w:u w:val="single"/>
          <w:vertAlign w:val="superscript"/>
        </w:rPr>
        <w:t>[59]</w:t>
      </w:r>
      <w:r>
        <w:fldChar w:fldCharType="end"/>
      </w:r>
      <w:bookmarkStart w:id="251" w:name="fnref2_5"/>
      <w:bookmarkEnd w:id="251"/>
      <w:r>
        <w:fldChar w:fldCharType="begin"/>
      </w:r>
      <w:r>
        <w:instrText>HYPERLINK \l "fn2" \h</w:instrText>
      </w:r>
      <w:r>
        <w:fldChar w:fldCharType="separate"/>
      </w:r>
      <w:r>
        <w:rPr>
          <w:rFonts w:ascii="inter" w:eastAsia="inter" w:hAnsi="inter" w:cs="inter"/>
          <w:u w:val="single"/>
          <w:vertAlign w:val="superscript"/>
        </w:rPr>
        <w:t>[2]</w:t>
      </w:r>
      <w:r>
        <w:fldChar w:fldCharType="end"/>
      </w:r>
    </w:p>
    <w:p w14:paraId="4782B601" w14:textId="77777777" w:rsidR="00CB47B0" w:rsidRDefault="00000000">
      <w:pPr>
        <w:spacing w:after="210" w:line="360" w:lineRule="auto"/>
      </w:pPr>
      <w:r>
        <w:rPr>
          <w:rFonts w:ascii="inter" w:eastAsia="inter" w:hAnsi="inter" w:cs="inter"/>
          <w:color w:val="000000"/>
        </w:rPr>
        <w:t>Equipment suppliers face different competitive dynamics, with wind turbine manufacturers, subsea cable suppliers, and foundation fabricators competing on technology, price, and local content capability. Major wind turbine OEMs including GE Renewable Energy, Vestas, and Siemens Gamesa have not yet established manufacturing in Vietnam but maintain sales and technical presence. This creates opportunities for aggressive positioning by OEMs willing to commit to local manufacturing, though the absence of consistent project pipeline delays such investments. Foundation and tower manufacturers including PTSC M&amp;C (Petrovietnam Services) and potential entrants like CS Wind position for projects, with local content capabilities providing competitive advantages as projects mature.</w:t>
      </w:r>
      <w:bookmarkStart w:id="252" w:name="fnref59_3"/>
      <w:bookmarkEnd w:id="252"/>
      <w:r>
        <w:fldChar w:fldCharType="begin"/>
      </w:r>
      <w:r>
        <w:instrText>HYPERLINK \l "fn59" \h</w:instrText>
      </w:r>
      <w:r>
        <w:fldChar w:fldCharType="separate"/>
      </w:r>
      <w:r>
        <w:rPr>
          <w:rFonts w:ascii="inter" w:eastAsia="inter" w:hAnsi="inter" w:cs="inter"/>
          <w:u w:val="single"/>
          <w:vertAlign w:val="superscript"/>
        </w:rPr>
        <w:t>[59]</w:t>
      </w:r>
      <w:r>
        <w:fldChar w:fldCharType="end"/>
      </w:r>
      <w:bookmarkStart w:id="253" w:name="fnref19_3"/>
      <w:bookmarkEnd w:id="253"/>
      <w:r>
        <w:fldChar w:fldCharType="begin"/>
      </w:r>
      <w:r>
        <w:instrText>HYPERLINK \l "fn19" \h</w:instrText>
      </w:r>
      <w:r>
        <w:fldChar w:fldCharType="separate"/>
      </w:r>
      <w:r>
        <w:rPr>
          <w:rFonts w:ascii="inter" w:eastAsia="inter" w:hAnsi="inter" w:cs="inter"/>
          <w:u w:val="single"/>
          <w:vertAlign w:val="superscript"/>
        </w:rPr>
        <w:t>[19]</w:t>
      </w:r>
      <w:r>
        <w:fldChar w:fldCharType="end"/>
      </w:r>
      <w:bookmarkStart w:id="254" w:name="fnref17_6"/>
      <w:bookmarkEnd w:id="254"/>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255" w:name="fnref18_9"/>
      <w:bookmarkEnd w:id="255"/>
      <w:r>
        <w:fldChar w:fldCharType="begin"/>
      </w:r>
      <w:r>
        <w:instrText>HYPERLINK \l "fn18" \h</w:instrText>
      </w:r>
      <w:r>
        <w:fldChar w:fldCharType="separate"/>
      </w:r>
      <w:r>
        <w:rPr>
          <w:rFonts w:ascii="inter" w:eastAsia="inter" w:hAnsi="inter" w:cs="inter"/>
          <w:u w:val="single"/>
          <w:vertAlign w:val="superscript"/>
        </w:rPr>
        <w:t>[18]</w:t>
      </w:r>
      <w:r>
        <w:fldChar w:fldCharType="end"/>
      </w:r>
    </w:p>
    <w:p w14:paraId="7C8D0F23" w14:textId="77777777" w:rsidR="00CB47B0" w:rsidRDefault="00000000">
      <w:pPr>
        <w:spacing w:after="210" w:line="360" w:lineRule="auto"/>
      </w:pPr>
      <w:r>
        <w:rPr>
          <w:rFonts w:ascii="inter" w:eastAsia="inter" w:hAnsi="inter" w:cs="inter"/>
          <w:color w:val="000000"/>
        </w:rPr>
        <w:t>For CCUS, the competitive environment remains nascent with Black &amp; Veatch's engagement representing Vietnam's first significant carbon capture studies. This early-stage market creates opportunities for engineering firms and technology providers to establish positions before competition intensifies. North East Scotland companies can leverage UK and European CCUS deployment experience, positioning as technical advisors, engineering service providers, and technology integrators as Vietnam's CCUS framework develops.</w:t>
      </w:r>
      <w:bookmarkStart w:id="256" w:name="fnref44_3"/>
      <w:bookmarkEnd w:id="256"/>
      <w:r>
        <w:fldChar w:fldCharType="begin"/>
      </w:r>
      <w:r>
        <w:instrText>HYPERLINK \l "fn44" \h</w:instrText>
      </w:r>
      <w:r>
        <w:fldChar w:fldCharType="separate"/>
      </w:r>
      <w:r>
        <w:rPr>
          <w:rFonts w:ascii="inter" w:eastAsia="inter" w:hAnsi="inter" w:cs="inter"/>
          <w:u w:val="single"/>
          <w:vertAlign w:val="superscript"/>
        </w:rPr>
        <w:t>[44]</w:t>
      </w:r>
      <w:r>
        <w:fldChar w:fldCharType="end"/>
      </w:r>
      <w:bookmarkStart w:id="257" w:name="fnref23_3"/>
      <w:bookmarkEnd w:id="257"/>
      <w:r>
        <w:fldChar w:fldCharType="begin"/>
      </w:r>
      <w:r>
        <w:instrText>HYPERLINK \l "fn23" \h</w:instrText>
      </w:r>
      <w:r>
        <w:fldChar w:fldCharType="separate"/>
      </w:r>
      <w:r>
        <w:rPr>
          <w:rFonts w:ascii="inter" w:eastAsia="inter" w:hAnsi="inter" w:cs="inter"/>
          <w:u w:val="single"/>
          <w:vertAlign w:val="superscript"/>
        </w:rPr>
        <w:t>[23]</w:t>
      </w:r>
      <w:r>
        <w:fldChar w:fldCharType="end"/>
      </w:r>
      <w:bookmarkStart w:id="258" w:name="fnref24_5"/>
      <w:bookmarkEnd w:id="258"/>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259" w:name="fnref33_11"/>
      <w:bookmarkEnd w:id="259"/>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4A8ABC8F" w14:textId="77777777" w:rsidR="00CB47B0" w:rsidRDefault="00000000">
      <w:pPr>
        <w:spacing w:after="210" w:line="360" w:lineRule="auto"/>
      </w:pPr>
      <w:r>
        <w:rPr>
          <w:rFonts w:ascii="inter" w:eastAsia="inter" w:hAnsi="inter" w:cs="inter"/>
          <w:color w:val="000000"/>
        </w:rPr>
        <w:t xml:space="preserve">Green hydrogen and ammonia development sees The Green Solutions establishing first-mover advantage through its Tra Vinh and Ben Tre projects. However, the scale of Vietnam's hydrogen ambitions—240 GW capacity allocated in PDP8—ensures substantial opportunity for additional developers. International </w:t>
      </w:r>
      <w:proofErr w:type="spellStart"/>
      <w:r>
        <w:rPr>
          <w:rFonts w:ascii="inter" w:eastAsia="inter" w:hAnsi="inter" w:cs="inter"/>
          <w:color w:val="000000"/>
        </w:rPr>
        <w:t>electrolyzer</w:t>
      </w:r>
      <w:proofErr w:type="spellEnd"/>
      <w:r>
        <w:rPr>
          <w:rFonts w:ascii="inter" w:eastAsia="inter" w:hAnsi="inter" w:cs="inter"/>
          <w:color w:val="000000"/>
        </w:rPr>
        <w:t xml:space="preserve"> manufacturers including John Cockerill, ITM Power, Nel Hydrogen, and Plug Power compete for Vietnamese projects, with technology performance, local support capabilities, and financing packages differentiating offerings.</w:t>
      </w:r>
      <w:bookmarkStart w:id="260" w:name="fnref1_5"/>
      <w:bookmarkEnd w:id="260"/>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261" w:name="fnref25_5"/>
      <w:bookmarkEnd w:id="261"/>
      <w:r>
        <w:fldChar w:fldCharType="begin"/>
      </w:r>
      <w:r>
        <w:instrText>HYPERLINK \l "fn25" \h</w:instrText>
      </w:r>
      <w:r>
        <w:fldChar w:fldCharType="separate"/>
      </w:r>
      <w:r>
        <w:rPr>
          <w:rFonts w:ascii="inter" w:eastAsia="inter" w:hAnsi="inter" w:cs="inter"/>
          <w:u w:val="single"/>
          <w:vertAlign w:val="superscript"/>
        </w:rPr>
        <w:t>[25]</w:t>
      </w:r>
      <w:r>
        <w:fldChar w:fldCharType="end"/>
      </w:r>
      <w:bookmarkStart w:id="262" w:name="fnref26_3"/>
      <w:bookmarkEnd w:id="262"/>
      <w:r>
        <w:fldChar w:fldCharType="begin"/>
      </w:r>
      <w:r>
        <w:instrText>HYPERLINK \l "fn26" \h</w:instrText>
      </w:r>
      <w:r>
        <w:fldChar w:fldCharType="separate"/>
      </w:r>
      <w:r>
        <w:rPr>
          <w:rFonts w:ascii="inter" w:eastAsia="inter" w:hAnsi="inter" w:cs="inter"/>
          <w:u w:val="single"/>
          <w:vertAlign w:val="superscript"/>
        </w:rPr>
        <w:t>[26]</w:t>
      </w:r>
      <w:r>
        <w:fldChar w:fldCharType="end"/>
      </w:r>
      <w:bookmarkStart w:id="263" w:name="fnref27_3"/>
      <w:bookmarkEnd w:id="263"/>
      <w:r>
        <w:fldChar w:fldCharType="begin"/>
      </w:r>
      <w:r>
        <w:instrText>HYPERLINK \l "fn27" \h</w:instrText>
      </w:r>
      <w:r>
        <w:fldChar w:fldCharType="separate"/>
      </w:r>
      <w:r>
        <w:rPr>
          <w:rFonts w:ascii="inter" w:eastAsia="inter" w:hAnsi="inter" w:cs="inter"/>
          <w:u w:val="single"/>
          <w:vertAlign w:val="superscript"/>
        </w:rPr>
        <w:t>[27]</w:t>
      </w:r>
      <w:r>
        <w:fldChar w:fldCharType="end"/>
      </w:r>
    </w:p>
    <w:p w14:paraId="477083C1" w14:textId="77777777" w:rsidR="00CB47B0" w:rsidRDefault="00000000">
      <w:pPr>
        <w:spacing w:before="315" w:after="105" w:line="360" w:lineRule="auto"/>
        <w:ind w:left="-30"/>
      </w:pPr>
      <w:bookmarkStart w:id="264" w:name="regional_competition_for_investment"/>
      <w:r>
        <w:rPr>
          <w:rFonts w:ascii="inter" w:eastAsia="inter" w:hAnsi="inter" w:cs="inter"/>
          <w:b/>
          <w:color w:val="000000"/>
          <w:sz w:val="24"/>
        </w:rPr>
        <w:t>Regional Competition for Investment</w:t>
      </w:r>
      <w:bookmarkEnd w:id="264"/>
    </w:p>
    <w:p w14:paraId="427B59BB" w14:textId="77777777" w:rsidR="00CB47B0" w:rsidRDefault="00000000">
      <w:pPr>
        <w:spacing w:after="210" w:line="360" w:lineRule="auto"/>
      </w:pPr>
      <w:r>
        <w:rPr>
          <w:rFonts w:ascii="inter" w:eastAsia="inter" w:hAnsi="inter" w:cs="inter"/>
          <w:color w:val="000000"/>
        </w:rPr>
        <w:t>Vietnam competes with neighboring Southeast Asian markets for renewable energy investment, creating pressure to maintain competitive project economics and attractive regulatory frameworks. Indonesia, Thailand, the Philippines, and Malaysia all pursue renewable energy expansion with varying degrees of aggressiveness and market maturity. Taiwan's mature offshore wind market, with established supply chains and significant installed capacity, provides both competitive threat and potential collaboration opportunity for Vietnamese development.</w:t>
      </w:r>
      <w:bookmarkStart w:id="265" w:name="fnref53_2"/>
      <w:bookmarkEnd w:id="265"/>
      <w:r>
        <w:fldChar w:fldCharType="begin"/>
      </w:r>
      <w:r>
        <w:instrText>HYPERLINK \l "fn53" \h</w:instrText>
      </w:r>
      <w:r>
        <w:fldChar w:fldCharType="separate"/>
      </w:r>
      <w:r>
        <w:rPr>
          <w:rFonts w:ascii="inter" w:eastAsia="inter" w:hAnsi="inter" w:cs="inter"/>
          <w:u w:val="single"/>
          <w:vertAlign w:val="superscript"/>
        </w:rPr>
        <w:t>[53]</w:t>
      </w:r>
      <w:r>
        <w:fldChar w:fldCharType="end"/>
      </w:r>
      <w:bookmarkStart w:id="266" w:name="fnref19_4"/>
      <w:bookmarkEnd w:id="266"/>
      <w:r>
        <w:fldChar w:fldCharType="begin"/>
      </w:r>
      <w:r>
        <w:instrText>HYPERLINK \l "fn19" \h</w:instrText>
      </w:r>
      <w:r>
        <w:fldChar w:fldCharType="separate"/>
      </w:r>
      <w:r>
        <w:rPr>
          <w:rFonts w:ascii="inter" w:eastAsia="inter" w:hAnsi="inter" w:cs="inter"/>
          <w:u w:val="single"/>
          <w:vertAlign w:val="superscript"/>
        </w:rPr>
        <w:t>[19]</w:t>
      </w:r>
      <w:r>
        <w:fldChar w:fldCharType="end"/>
      </w:r>
      <w:bookmarkStart w:id="267" w:name="fnref13_4"/>
      <w:bookmarkEnd w:id="267"/>
      <w:r>
        <w:fldChar w:fldCharType="begin"/>
      </w:r>
      <w:r>
        <w:instrText>HYPERLINK \l "fn13" \h</w:instrText>
      </w:r>
      <w:r>
        <w:fldChar w:fldCharType="separate"/>
      </w:r>
      <w:r>
        <w:rPr>
          <w:rFonts w:ascii="inter" w:eastAsia="inter" w:hAnsi="inter" w:cs="inter"/>
          <w:u w:val="single"/>
          <w:vertAlign w:val="superscript"/>
        </w:rPr>
        <w:t>[13]</w:t>
      </w:r>
      <w:r>
        <w:fldChar w:fldCharType="end"/>
      </w:r>
    </w:p>
    <w:p w14:paraId="112E33E0" w14:textId="77777777" w:rsidR="00CB47B0" w:rsidRDefault="00000000">
      <w:pPr>
        <w:spacing w:after="210" w:line="360" w:lineRule="auto"/>
      </w:pPr>
      <w:r>
        <w:rPr>
          <w:rFonts w:ascii="inter" w:eastAsia="inter" w:hAnsi="inter" w:cs="inter"/>
          <w:color w:val="000000"/>
        </w:rPr>
        <w:t>Comparison with regional competitors reveals Vietnam's relative strengths and weaknesses. Vietnam's offshore wind resource ranks among Southeast Asia's best, with technical potential of 475 GW far exceeding current power system capacity. The country's long coastline (over 3,260 km), favorable wind speeds averaging 7-11 meters per second in prime areas, and relatively shallow waters suitable for fixed-bottom foundations in nearshore zones provide natural advantages. Vietnam's manufacturing capability, while limited for wind turbines, includes strong foundations and towers production potential leveraging oil and gas fabrication experience.</w:t>
      </w:r>
      <w:bookmarkStart w:id="268" w:name="fnref39_2"/>
      <w:bookmarkEnd w:id="268"/>
      <w:r>
        <w:fldChar w:fldCharType="begin"/>
      </w:r>
      <w:r>
        <w:instrText>HYPERLINK \l "fn39" \h</w:instrText>
      </w:r>
      <w:r>
        <w:fldChar w:fldCharType="separate"/>
      </w:r>
      <w:r>
        <w:rPr>
          <w:rFonts w:ascii="inter" w:eastAsia="inter" w:hAnsi="inter" w:cs="inter"/>
          <w:u w:val="single"/>
          <w:vertAlign w:val="superscript"/>
        </w:rPr>
        <w:t>[39]</w:t>
      </w:r>
      <w:r>
        <w:fldChar w:fldCharType="end"/>
      </w:r>
      <w:bookmarkStart w:id="269" w:name="fnref48_1"/>
      <w:bookmarkEnd w:id="269"/>
      <w:r>
        <w:fldChar w:fldCharType="begin"/>
      </w:r>
      <w:r>
        <w:instrText>HYPERLINK \l "fn48" \h</w:instrText>
      </w:r>
      <w:r>
        <w:fldChar w:fldCharType="separate"/>
      </w:r>
      <w:r>
        <w:rPr>
          <w:rFonts w:ascii="inter" w:eastAsia="inter" w:hAnsi="inter" w:cs="inter"/>
          <w:u w:val="single"/>
          <w:vertAlign w:val="superscript"/>
        </w:rPr>
        <w:t>[48]</w:t>
      </w:r>
      <w:r>
        <w:fldChar w:fldCharType="end"/>
      </w:r>
      <w:bookmarkStart w:id="270" w:name="fnref19_5"/>
      <w:bookmarkEnd w:id="270"/>
      <w:r>
        <w:fldChar w:fldCharType="begin"/>
      </w:r>
      <w:r>
        <w:instrText>HYPERLINK \l "fn19" \h</w:instrText>
      </w:r>
      <w:r>
        <w:fldChar w:fldCharType="separate"/>
      </w:r>
      <w:r>
        <w:rPr>
          <w:rFonts w:ascii="inter" w:eastAsia="inter" w:hAnsi="inter" w:cs="inter"/>
          <w:u w:val="single"/>
          <w:vertAlign w:val="superscript"/>
        </w:rPr>
        <w:t>[19]</w:t>
      </w:r>
      <w:r>
        <w:fldChar w:fldCharType="end"/>
      </w:r>
      <w:bookmarkStart w:id="271" w:name="fnref1_6"/>
      <w:bookmarkEnd w:id="271"/>
      <w:r>
        <w:fldChar w:fldCharType="begin"/>
      </w:r>
      <w:r>
        <w:instrText>HYPERLINK \l "fn1" \h</w:instrText>
      </w:r>
      <w:r>
        <w:fldChar w:fldCharType="separate"/>
      </w:r>
      <w:r>
        <w:rPr>
          <w:rFonts w:ascii="inter" w:eastAsia="inter" w:hAnsi="inter" w:cs="inter"/>
          <w:u w:val="single"/>
          <w:vertAlign w:val="superscript"/>
        </w:rPr>
        <w:t>[1]</w:t>
      </w:r>
      <w:r>
        <w:fldChar w:fldCharType="end"/>
      </w:r>
      <w:bookmarkStart w:id="272" w:name="fnref17_7"/>
      <w:bookmarkEnd w:id="272"/>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273" w:name="fnref18_10"/>
      <w:bookmarkEnd w:id="273"/>
      <w:r>
        <w:fldChar w:fldCharType="begin"/>
      </w:r>
      <w:r>
        <w:instrText>HYPERLINK \l "fn18" \h</w:instrText>
      </w:r>
      <w:r>
        <w:fldChar w:fldCharType="separate"/>
      </w:r>
      <w:r>
        <w:rPr>
          <w:rFonts w:ascii="inter" w:eastAsia="inter" w:hAnsi="inter" w:cs="inter"/>
          <w:u w:val="single"/>
          <w:vertAlign w:val="superscript"/>
        </w:rPr>
        <w:t>[18]</w:t>
      </w:r>
      <w:r>
        <w:fldChar w:fldCharType="end"/>
      </w:r>
    </w:p>
    <w:p w14:paraId="3488E328" w14:textId="77777777" w:rsidR="00CB47B0" w:rsidRDefault="00000000">
      <w:pPr>
        <w:spacing w:after="210" w:line="360" w:lineRule="auto"/>
      </w:pPr>
      <w:r>
        <w:rPr>
          <w:rFonts w:ascii="inter" w:eastAsia="inter" w:hAnsi="inter" w:cs="inter"/>
          <w:color w:val="000000"/>
        </w:rPr>
        <w:t>However, Vietnam's grid infrastructure deficiencies, regulatory uncertainties, and recent FIT retroactive pricing controversies create competitive disadvantages relative to more stable markets. Indonesia's and Thailand's earlier development of renewable energy frameworks and clearer regulatory pathways attract risk-averse investors, though both markets face their own challenges including local content requirements and permitting complexities. The Philippines' recent renewable energy expansion, supported by retail electricity market competition and corporate purchasing programs, demonstrates alternative regulatory approaches that Vietnam might emulate.</w:t>
      </w:r>
      <w:bookmarkStart w:id="274" w:name="fnref16_2"/>
      <w:bookmarkEnd w:id="274"/>
      <w:r>
        <w:fldChar w:fldCharType="begin"/>
      </w:r>
      <w:r>
        <w:instrText>HYPERLINK \l "fn16" \h</w:instrText>
      </w:r>
      <w:r>
        <w:fldChar w:fldCharType="separate"/>
      </w:r>
      <w:r>
        <w:rPr>
          <w:rFonts w:ascii="inter" w:eastAsia="inter" w:hAnsi="inter" w:cs="inter"/>
          <w:u w:val="single"/>
          <w:vertAlign w:val="superscript"/>
        </w:rPr>
        <w:t>[16]</w:t>
      </w:r>
      <w:r>
        <w:fldChar w:fldCharType="end"/>
      </w:r>
      <w:bookmarkStart w:id="275" w:name="fnref30_4"/>
      <w:bookmarkEnd w:id="275"/>
      <w:r>
        <w:fldChar w:fldCharType="begin"/>
      </w:r>
      <w:r>
        <w:instrText>HYPERLINK \l "fn30" \h</w:instrText>
      </w:r>
      <w:r>
        <w:fldChar w:fldCharType="separate"/>
      </w:r>
      <w:r>
        <w:rPr>
          <w:rFonts w:ascii="inter" w:eastAsia="inter" w:hAnsi="inter" w:cs="inter"/>
          <w:u w:val="single"/>
          <w:vertAlign w:val="superscript"/>
        </w:rPr>
        <w:t>[30]</w:t>
      </w:r>
      <w:r>
        <w:fldChar w:fldCharType="end"/>
      </w:r>
      <w:bookmarkStart w:id="276" w:name="fnref5_5"/>
      <w:bookmarkEnd w:id="276"/>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277" w:name="fnref8_4"/>
      <w:bookmarkEnd w:id="277"/>
      <w:r>
        <w:fldChar w:fldCharType="begin"/>
      </w:r>
      <w:r>
        <w:instrText>HYPERLINK \l "fn8" \h</w:instrText>
      </w:r>
      <w:r>
        <w:fldChar w:fldCharType="separate"/>
      </w:r>
      <w:r>
        <w:rPr>
          <w:rFonts w:ascii="inter" w:eastAsia="inter" w:hAnsi="inter" w:cs="inter"/>
          <w:u w:val="single"/>
          <w:vertAlign w:val="superscript"/>
        </w:rPr>
        <w:t>[8]</w:t>
      </w:r>
      <w:r>
        <w:fldChar w:fldCharType="end"/>
      </w:r>
    </w:p>
    <w:p w14:paraId="027F33A7" w14:textId="77777777" w:rsidR="00CB47B0" w:rsidRDefault="00000000">
      <w:pPr>
        <w:spacing w:after="210" w:line="360" w:lineRule="auto"/>
      </w:pPr>
      <w:r>
        <w:rPr>
          <w:rFonts w:ascii="inter" w:eastAsia="inter" w:hAnsi="inter" w:cs="inter"/>
          <w:color w:val="000000"/>
        </w:rPr>
        <w:t>For North East Scotland companies, this regional competitive environment suggests several strategic implications. First, expertise gained in Vietnam can be leveraged across Southeast Asian markets, with transferable capabilities in offshore wind, CCUS, and decommissioning applicable in Indonesia, Thailand, Philippines, and Malaysia. Second, regional supply chain approaches—establishing Singapore or Vietnam-based hubs serving multiple markets—can optimize costs and market coverage. Third, Vietnamese project experience can provide reference cases supporting expansion into neighboring markets, particularly if early projects demonstrate cost-effectiveness and technical success.</w:t>
      </w:r>
      <w:bookmarkStart w:id="278" w:name="fnref20_3"/>
      <w:bookmarkEnd w:id="278"/>
      <w:r>
        <w:fldChar w:fldCharType="begin"/>
      </w:r>
      <w:r>
        <w:instrText>HYPERLINK \l "fn20" \h</w:instrText>
      </w:r>
      <w:r>
        <w:fldChar w:fldCharType="separate"/>
      </w:r>
      <w:r>
        <w:rPr>
          <w:rFonts w:ascii="inter" w:eastAsia="inter" w:hAnsi="inter" w:cs="inter"/>
          <w:u w:val="single"/>
          <w:vertAlign w:val="superscript"/>
        </w:rPr>
        <w:t>[20]</w:t>
      </w:r>
      <w:r>
        <w:fldChar w:fldCharType="end"/>
      </w:r>
      <w:bookmarkStart w:id="279" w:name="fnref34_4"/>
      <w:bookmarkEnd w:id="279"/>
      <w:r>
        <w:fldChar w:fldCharType="begin"/>
      </w:r>
      <w:r>
        <w:instrText>HYPERLINK \l "fn34" \h</w:instrText>
      </w:r>
      <w:r>
        <w:fldChar w:fldCharType="separate"/>
      </w:r>
      <w:r>
        <w:rPr>
          <w:rFonts w:ascii="inter" w:eastAsia="inter" w:hAnsi="inter" w:cs="inter"/>
          <w:u w:val="single"/>
          <w:vertAlign w:val="superscript"/>
        </w:rPr>
        <w:t>[34]</w:t>
      </w:r>
      <w:r>
        <w:fldChar w:fldCharType="end"/>
      </w:r>
      <w:bookmarkStart w:id="280" w:name="fnref38_6"/>
      <w:bookmarkEnd w:id="280"/>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281" w:name="fnref31_8"/>
      <w:bookmarkEnd w:id="281"/>
      <w:r>
        <w:fldChar w:fldCharType="begin"/>
      </w:r>
      <w:r>
        <w:instrText>HYPERLINK \l "fn31" \h</w:instrText>
      </w:r>
      <w:r>
        <w:fldChar w:fldCharType="separate"/>
      </w:r>
      <w:r>
        <w:rPr>
          <w:rFonts w:ascii="inter" w:eastAsia="inter" w:hAnsi="inter" w:cs="inter"/>
          <w:u w:val="single"/>
          <w:vertAlign w:val="superscript"/>
        </w:rPr>
        <w:t>[31]</w:t>
      </w:r>
      <w:r>
        <w:fldChar w:fldCharType="end"/>
      </w:r>
      <w:bookmarkStart w:id="282" w:name="fnref21_8"/>
      <w:bookmarkEnd w:id="282"/>
      <w:r>
        <w:fldChar w:fldCharType="begin"/>
      </w:r>
      <w:r>
        <w:instrText>HYPERLINK \l "fn21" \h</w:instrText>
      </w:r>
      <w:r>
        <w:fldChar w:fldCharType="separate"/>
      </w:r>
      <w:r>
        <w:rPr>
          <w:rFonts w:ascii="inter" w:eastAsia="inter" w:hAnsi="inter" w:cs="inter"/>
          <w:u w:val="single"/>
          <w:vertAlign w:val="superscript"/>
        </w:rPr>
        <w:t>[21]</w:t>
      </w:r>
      <w:r>
        <w:fldChar w:fldCharType="end"/>
      </w:r>
    </w:p>
    <w:p w14:paraId="64ED3108" w14:textId="77777777" w:rsidR="00CB47B0" w:rsidRDefault="00000000" w:rsidP="00A460CE">
      <w:pPr>
        <w:pStyle w:val="Heading1"/>
      </w:pPr>
      <w:bookmarkStart w:id="283" w:name="differentiation_strategies_for_no_b15dd3"/>
      <w:r>
        <w:rPr>
          <w:rFonts w:eastAsia="inter"/>
        </w:rPr>
        <w:t>Differentiation Strategies for North East Scotland Companies</w:t>
      </w:r>
      <w:bookmarkEnd w:id="283"/>
    </w:p>
    <w:p w14:paraId="7A7EF5EB" w14:textId="77777777" w:rsidR="00CB47B0" w:rsidRDefault="00000000">
      <w:pPr>
        <w:spacing w:after="210" w:line="360" w:lineRule="auto"/>
      </w:pPr>
      <w:r>
        <w:rPr>
          <w:rFonts w:ascii="inter" w:eastAsia="inter" w:hAnsi="inter" w:cs="inter"/>
          <w:color w:val="000000"/>
        </w:rPr>
        <w:t>North East Scotland companies require clear differentiation strategies to compete effectively against established international players and emerging local competitors. Technical excellence and proven track record constitute foundational differentiators, with North Sea experience providing credibility that few competitors can match. Specific technical differentiators include subsea engineering expertise developed in harsh North Sea conditions exceeding most markets' requirements, project management capabilities proven on complex multi-billion dollar developments, and innovation capacity demonstrated through decades of technology development and deployment.</w:t>
      </w:r>
      <w:bookmarkStart w:id="284" w:name="fnref31_9"/>
      <w:bookmarkEnd w:id="284"/>
      <w:r>
        <w:fldChar w:fldCharType="begin"/>
      </w:r>
      <w:r>
        <w:instrText>HYPERLINK \l "fn31" \h</w:instrText>
      </w:r>
      <w:r>
        <w:fldChar w:fldCharType="separate"/>
      </w:r>
      <w:r>
        <w:rPr>
          <w:rFonts w:ascii="inter" w:eastAsia="inter" w:hAnsi="inter" w:cs="inter"/>
          <w:u w:val="single"/>
          <w:vertAlign w:val="superscript"/>
        </w:rPr>
        <w:t>[31]</w:t>
      </w:r>
      <w:r>
        <w:fldChar w:fldCharType="end"/>
      </w:r>
      <w:bookmarkStart w:id="285" w:name="fnref32_11"/>
      <w:bookmarkEnd w:id="285"/>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286" w:name="fnref22_21"/>
      <w:bookmarkEnd w:id="286"/>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73AD2C6F" w14:textId="77777777" w:rsidR="00CB47B0" w:rsidRDefault="00000000">
      <w:pPr>
        <w:spacing w:after="210" w:line="360" w:lineRule="auto"/>
      </w:pPr>
      <w:r>
        <w:rPr>
          <w:rFonts w:ascii="inter" w:eastAsia="inter" w:hAnsi="inter" w:cs="inter"/>
          <w:color w:val="000000"/>
        </w:rPr>
        <w:t>Cost competitiveness through operational efficiency represents a second differentiation dimension. Scottish companies have achieved documented 35% cost reductions in decommissioning through innovative approaches and technologies, demonstrating ability to deliver value beyond pure technical capability. Lean project delivery, minimizing mobilization costs, and rapid execution reduce total project costs, attributes particularly valued in price-sensitive emerging markets. The ability to rapidly mobilize, exemplified by bringing projects from concept to execution in four months, provides schedule advantages that translate to financial benefits for developers facing time-sensitive milestones.</w:t>
      </w:r>
      <w:bookmarkStart w:id="287" w:name="fnref34_5"/>
      <w:bookmarkEnd w:id="287"/>
      <w:r>
        <w:fldChar w:fldCharType="begin"/>
      </w:r>
      <w:r>
        <w:instrText>HYPERLINK \l "fn34" \h</w:instrText>
      </w:r>
      <w:r>
        <w:fldChar w:fldCharType="separate"/>
      </w:r>
      <w:r>
        <w:rPr>
          <w:rFonts w:ascii="inter" w:eastAsia="inter" w:hAnsi="inter" w:cs="inter"/>
          <w:u w:val="single"/>
          <w:vertAlign w:val="superscript"/>
        </w:rPr>
        <w:t>[34]</w:t>
      </w:r>
      <w:r>
        <w:fldChar w:fldCharType="end"/>
      </w:r>
      <w:bookmarkStart w:id="288" w:name="fnref3_6"/>
      <w:bookmarkEnd w:id="288"/>
      <w:r>
        <w:fldChar w:fldCharType="begin"/>
      </w:r>
      <w:r>
        <w:instrText>HYPERLINK \l "fn3" \h</w:instrText>
      </w:r>
      <w:r>
        <w:fldChar w:fldCharType="separate"/>
      </w:r>
      <w:r>
        <w:rPr>
          <w:rFonts w:ascii="inter" w:eastAsia="inter" w:hAnsi="inter" w:cs="inter"/>
          <w:u w:val="single"/>
          <w:vertAlign w:val="superscript"/>
        </w:rPr>
        <w:t>[3]</w:t>
      </w:r>
      <w:r>
        <w:fldChar w:fldCharType="end"/>
      </w:r>
      <w:bookmarkStart w:id="289" w:name="fnref22_22"/>
      <w:bookmarkEnd w:id="289"/>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558E8619" w14:textId="77777777" w:rsidR="00CB47B0" w:rsidRDefault="00000000">
      <w:pPr>
        <w:spacing w:after="210" w:line="360" w:lineRule="auto"/>
      </w:pPr>
      <w:r>
        <w:rPr>
          <w:rFonts w:ascii="inter" w:eastAsia="inter" w:hAnsi="inter" w:cs="inter"/>
          <w:color w:val="000000"/>
        </w:rPr>
        <w:t>Partnership and localization strategies create sustainable competitive advantages in long-term market development. Establishing local presence through joint ventures with Vietnamese companies, creating local employment through training programs and hiring, and committing to technology transfer and knowledge sharing demonstrate long-term commitment differentiating from transactional competitors. The F4OR program experience, supporting 75 North East Scotland companies in offshore renewables transition with average 28% turnover increases, provides a model for supporting Vietnamese companies in capability development while creating partnership opportunities.</w:t>
      </w:r>
      <w:bookmarkStart w:id="290" w:name="fnref30_5"/>
      <w:bookmarkEnd w:id="290"/>
      <w:r>
        <w:fldChar w:fldCharType="begin"/>
      </w:r>
      <w:r>
        <w:instrText>HYPERLINK \l "fn30" \h</w:instrText>
      </w:r>
      <w:r>
        <w:fldChar w:fldCharType="separate"/>
      </w:r>
      <w:r>
        <w:rPr>
          <w:rFonts w:ascii="inter" w:eastAsia="inter" w:hAnsi="inter" w:cs="inter"/>
          <w:u w:val="single"/>
          <w:vertAlign w:val="superscript"/>
        </w:rPr>
        <w:t>[30]</w:t>
      </w:r>
      <w:r>
        <w:fldChar w:fldCharType="end"/>
      </w:r>
      <w:bookmarkStart w:id="291" w:name="fnref38_7"/>
      <w:bookmarkEnd w:id="291"/>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292" w:name="fnref21_9"/>
      <w:bookmarkEnd w:id="292"/>
      <w:r>
        <w:fldChar w:fldCharType="begin"/>
      </w:r>
      <w:r>
        <w:instrText>HYPERLINK \l "fn21" \h</w:instrText>
      </w:r>
      <w:r>
        <w:fldChar w:fldCharType="separate"/>
      </w:r>
      <w:r>
        <w:rPr>
          <w:rFonts w:ascii="inter" w:eastAsia="inter" w:hAnsi="inter" w:cs="inter"/>
          <w:u w:val="single"/>
          <w:vertAlign w:val="superscript"/>
        </w:rPr>
        <w:t>[21]</w:t>
      </w:r>
      <w:r>
        <w:fldChar w:fldCharType="end"/>
      </w:r>
    </w:p>
    <w:p w14:paraId="57BB5CF3" w14:textId="77777777" w:rsidR="00CB47B0" w:rsidRDefault="00000000">
      <w:pPr>
        <w:spacing w:after="210" w:line="360" w:lineRule="auto"/>
      </w:pPr>
      <w:r>
        <w:rPr>
          <w:rFonts w:ascii="inter" w:eastAsia="inter" w:hAnsi="inter" w:cs="inter"/>
          <w:color w:val="000000"/>
        </w:rPr>
        <w:t>Integrated service offerings bundle multiple capabilities addressing client needs more comprehensively than narrow specialists. Examples include combining foundation design, fabrication oversight, installation engineering, and O&amp;M services in integrated offshore wind packages, or linking decommissioning planning, well abandonment, platform removal, and environmental remediation in comprehensive decommissioning solutions. These integrated approaches reduce client coordination burden, minimize interfaces between contractors, and provide single-point accountability, attributes that complex project developers highly value.</w:t>
      </w:r>
      <w:bookmarkStart w:id="293" w:name="fnref46_2"/>
      <w:bookmarkEnd w:id="293"/>
      <w:r>
        <w:fldChar w:fldCharType="begin"/>
      </w:r>
      <w:r>
        <w:instrText>HYPERLINK \l "fn46" \h</w:instrText>
      </w:r>
      <w:r>
        <w:fldChar w:fldCharType="separate"/>
      </w:r>
      <w:r>
        <w:rPr>
          <w:rFonts w:ascii="inter" w:eastAsia="inter" w:hAnsi="inter" w:cs="inter"/>
          <w:u w:val="single"/>
          <w:vertAlign w:val="superscript"/>
        </w:rPr>
        <w:t>[46]</w:t>
      </w:r>
      <w:r>
        <w:fldChar w:fldCharType="end"/>
      </w:r>
      <w:bookmarkStart w:id="294" w:name="fnref20_4"/>
      <w:bookmarkEnd w:id="294"/>
      <w:r>
        <w:fldChar w:fldCharType="begin"/>
      </w:r>
      <w:r>
        <w:instrText>HYPERLINK \l "fn20" \h</w:instrText>
      </w:r>
      <w:r>
        <w:fldChar w:fldCharType="separate"/>
      </w:r>
      <w:r>
        <w:rPr>
          <w:rFonts w:ascii="inter" w:eastAsia="inter" w:hAnsi="inter" w:cs="inter"/>
          <w:u w:val="single"/>
          <w:vertAlign w:val="superscript"/>
        </w:rPr>
        <w:t>[20]</w:t>
      </w:r>
      <w:r>
        <w:fldChar w:fldCharType="end"/>
      </w:r>
      <w:bookmarkStart w:id="295" w:name="fnref22_23"/>
      <w:bookmarkEnd w:id="295"/>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49E9B762" w14:textId="77777777" w:rsidR="00CB47B0" w:rsidRDefault="00000000" w:rsidP="00A460CE">
      <w:pPr>
        <w:pStyle w:val="Heading1"/>
      </w:pPr>
      <w:bookmarkStart w:id="296" w:name="conclusions_and_recommendations"/>
      <w:r>
        <w:rPr>
          <w:rFonts w:eastAsia="inter"/>
        </w:rPr>
        <w:t>Conclusions and Recommendations</w:t>
      </w:r>
      <w:bookmarkEnd w:id="296"/>
    </w:p>
    <w:p w14:paraId="262D1407" w14:textId="77777777" w:rsidR="00CB47B0" w:rsidRDefault="00000000">
      <w:pPr>
        <w:spacing w:before="315" w:after="105" w:line="360" w:lineRule="auto"/>
        <w:ind w:left="-30"/>
      </w:pPr>
      <w:bookmarkStart w:id="297" w:name="strategic_market_assessment"/>
      <w:r>
        <w:rPr>
          <w:rFonts w:ascii="inter" w:eastAsia="inter" w:hAnsi="inter" w:cs="inter"/>
          <w:b/>
          <w:color w:val="000000"/>
          <w:sz w:val="24"/>
        </w:rPr>
        <w:t>Strategic Market Assessment</w:t>
      </w:r>
      <w:bookmarkEnd w:id="297"/>
    </w:p>
    <w:p w14:paraId="2A6619D3" w14:textId="77777777" w:rsidR="00CB47B0" w:rsidRDefault="00000000">
      <w:pPr>
        <w:spacing w:after="210" w:line="360" w:lineRule="auto"/>
      </w:pPr>
      <w:r>
        <w:rPr>
          <w:rFonts w:ascii="inter" w:eastAsia="inter" w:hAnsi="inter" w:cs="inter"/>
          <w:color w:val="000000"/>
        </w:rPr>
        <w:t>Vietnam's offshore low-carbon energy market presents substantial and diverse opportunities for North East Scotland energy supply chain companies across offshore wind, CCUS, green hydrogen, decommissioning, and related sectors. The market's scale—with offshore wind alone targeting 70-91 GW by 2050 requiring investments exceeding $100 billion—ensures sufficient opportunity for multiple international suppliers despite intense competition. The country's ambitious timeline, targeting 6 GW offshore wind by 2030, creates urgency favoring experienced suppliers capable of rapid deployment.</w:t>
      </w:r>
      <w:bookmarkStart w:id="298" w:name="fnref11_2"/>
      <w:bookmarkEnd w:id="298"/>
      <w:r>
        <w:fldChar w:fldCharType="begin"/>
      </w:r>
      <w:r>
        <w:instrText>HYPERLINK \l "fn11" \h</w:instrText>
      </w:r>
      <w:r>
        <w:fldChar w:fldCharType="separate"/>
      </w:r>
      <w:r>
        <w:rPr>
          <w:rFonts w:ascii="inter" w:eastAsia="inter" w:hAnsi="inter" w:cs="inter"/>
          <w:u w:val="single"/>
          <w:vertAlign w:val="superscript"/>
        </w:rPr>
        <w:t>[11]</w:t>
      </w:r>
      <w:r>
        <w:fldChar w:fldCharType="end"/>
      </w:r>
      <w:bookmarkStart w:id="299" w:name="fnref2_6"/>
      <w:bookmarkEnd w:id="299"/>
      <w:r>
        <w:fldChar w:fldCharType="begin"/>
      </w:r>
      <w:r>
        <w:instrText>HYPERLINK \l "fn2" \h</w:instrText>
      </w:r>
      <w:r>
        <w:fldChar w:fldCharType="separate"/>
      </w:r>
      <w:r>
        <w:rPr>
          <w:rFonts w:ascii="inter" w:eastAsia="inter" w:hAnsi="inter" w:cs="inter"/>
          <w:u w:val="single"/>
          <w:vertAlign w:val="superscript"/>
        </w:rPr>
        <w:t>[2]</w:t>
      </w:r>
      <w:r>
        <w:fldChar w:fldCharType="end"/>
      </w:r>
      <w:bookmarkStart w:id="300" w:name="fnref20_5"/>
      <w:bookmarkEnd w:id="300"/>
      <w:r>
        <w:fldChar w:fldCharType="begin"/>
      </w:r>
      <w:r>
        <w:instrText>HYPERLINK \l "fn20" \h</w:instrText>
      </w:r>
      <w:r>
        <w:fldChar w:fldCharType="separate"/>
      </w:r>
      <w:r>
        <w:rPr>
          <w:rFonts w:ascii="inter" w:eastAsia="inter" w:hAnsi="inter" w:cs="inter"/>
          <w:u w:val="single"/>
          <w:vertAlign w:val="superscript"/>
        </w:rPr>
        <w:t>[20]</w:t>
      </w:r>
      <w:r>
        <w:fldChar w:fldCharType="end"/>
      </w:r>
      <w:bookmarkStart w:id="301" w:name="fnref1_7"/>
      <w:bookmarkEnd w:id="301"/>
      <w:r>
        <w:fldChar w:fldCharType="begin"/>
      </w:r>
      <w:r>
        <w:instrText>HYPERLINK \l "fn1" \h</w:instrText>
      </w:r>
      <w:r>
        <w:fldChar w:fldCharType="separate"/>
      </w:r>
      <w:r>
        <w:rPr>
          <w:rFonts w:ascii="inter" w:eastAsia="inter" w:hAnsi="inter" w:cs="inter"/>
          <w:u w:val="single"/>
          <w:vertAlign w:val="superscript"/>
        </w:rPr>
        <w:t>[1]</w:t>
      </w:r>
      <w:r>
        <w:fldChar w:fldCharType="end"/>
      </w:r>
    </w:p>
    <w:p w14:paraId="29F97FDB" w14:textId="77777777" w:rsidR="00CB47B0" w:rsidRDefault="00000000">
      <w:pPr>
        <w:spacing w:after="210" w:line="360" w:lineRule="auto"/>
      </w:pPr>
      <w:r>
        <w:rPr>
          <w:rFonts w:ascii="inter" w:eastAsia="inter" w:hAnsi="inter" w:cs="inter"/>
          <w:color w:val="000000"/>
        </w:rPr>
        <w:t>North East Scotland companies possess distinctive competitive advantages directly addressing Vietnam's supply chain gaps. Decommissioning expertise represents the strongest immediate opportunity, with Vietnamese infrastructure aging and Scottish capabilities globally leading in cost-effective, safe offshore decommissioning. Offshore wind foundation engineering, subsea systems integration, installation services, and operations and maintenance leverage transferable North Sea capabilities where Scottish companies excel globally. CCUS engineering services, green hydrogen project integration, and grid connection expertise address emerging Vietnamese needs where international experience remains limited.</w:t>
      </w:r>
      <w:bookmarkStart w:id="302" w:name="fnref23_4"/>
      <w:bookmarkEnd w:id="302"/>
      <w:r>
        <w:fldChar w:fldCharType="begin"/>
      </w:r>
      <w:r>
        <w:instrText>HYPERLINK \l "fn23" \h</w:instrText>
      </w:r>
      <w:r>
        <w:fldChar w:fldCharType="separate"/>
      </w:r>
      <w:r>
        <w:rPr>
          <w:rFonts w:ascii="inter" w:eastAsia="inter" w:hAnsi="inter" w:cs="inter"/>
          <w:u w:val="single"/>
          <w:vertAlign w:val="superscript"/>
        </w:rPr>
        <w:t>[23]</w:t>
      </w:r>
      <w:r>
        <w:fldChar w:fldCharType="end"/>
      </w:r>
      <w:bookmarkStart w:id="303" w:name="fnref24_6"/>
      <w:bookmarkEnd w:id="303"/>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304" w:name="fnref25_6"/>
      <w:bookmarkEnd w:id="304"/>
      <w:r>
        <w:fldChar w:fldCharType="begin"/>
      </w:r>
      <w:r>
        <w:instrText>HYPERLINK \l "fn25" \h</w:instrText>
      </w:r>
      <w:r>
        <w:fldChar w:fldCharType="separate"/>
      </w:r>
      <w:r>
        <w:rPr>
          <w:rFonts w:ascii="inter" w:eastAsia="inter" w:hAnsi="inter" w:cs="inter"/>
          <w:u w:val="single"/>
          <w:vertAlign w:val="superscript"/>
        </w:rPr>
        <w:t>[25]</w:t>
      </w:r>
      <w:r>
        <w:fldChar w:fldCharType="end"/>
      </w:r>
      <w:bookmarkStart w:id="305" w:name="fnref35_3"/>
      <w:bookmarkEnd w:id="305"/>
      <w:r>
        <w:fldChar w:fldCharType="begin"/>
      </w:r>
      <w:r>
        <w:instrText>HYPERLINK \l "fn35" \h</w:instrText>
      </w:r>
      <w:r>
        <w:fldChar w:fldCharType="separate"/>
      </w:r>
      <w:r>
        <w:rPr>
          <w:rFonts w:ascii="inter" w:eastAsia="inter" w:hAnsi="inter" w:cs="inter"/>
          <w:u w:val="single"/>
          <w:vertAlign w:val="superscript"/>
        </w:rPr>
        <w:t>[35]</w:t>
      </w:r>
      <w:r>
        <w:fldChar w:fldCharType="end"/>
      </w:r>
      <w:bookmarkStart w:id="306" w:name="fnref34_6"/>
      <w:bookmarkEnd w:id="306"/>
      <w:r>
        <w:fldChar w:fldCharType="begin"/>
      </w:r>
      <w:r>
        <w:instrText>HYPERLINK \l "fn34" \h</w:instrText>
      </w:r>
      <w:r>
        <w:fldChar w:fldCharType="separate"/>
      </w:r>
      <w:r>
        <w:rPr>
          <w:rFonts w:ascii="inter" w:eastAsia="inter" w:hAnsi="inter" w:cs="inter"/>
          <w:u w:val="single"/>
          <w:vertAlign w:val="superscript"/>
        </w:rPr>
        <w:t>[34]</w:t>
      </w:r>
      <w:r>
        <w:fldChar w:fldCharType="end"/>
      </w:r>
      <w:bookmarkStart w:id="307" w:name="fnref32_12"/>
      <w:bookmarkEnd w:id="307"/>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308" w:name="fnref33_12"/>
      <w:bookmarkEnd w:id="308"/>
      <w:r>
        <w:fldChar w:fldCharType="begin"/>
      </w:r>
      <w:r>
        <w:instrText>HYPERLINK \l "fn33" \h</w:instrText>
      </w:r>
      <w:r>
        <w:fldChar w:fldCharType="separate"/>
      </w:r>
      <w:r>
        <w:rPr>
          <w:rFonts w:ascii="inter" w:eastAsia="inter" w:hAnsi="inter" w:cs="inter"/>
          <w:u w:val="single"/>
          <w:vertAlign w:val="superscript"/>
        </w:rPr>
        <w:t>[33]</w:t>
      </w:r>
      <w:r>
        <w:fldChar w:fldCharType="end"/>
      </w:r>
      <w:bookmarkStart w:id="309" w:name="fnref31_10"/>
      <w:bookmarkEnd w:id="309"/>
      <w:r>
        <w:fldChar w:fldCharType="begin"/>
      </w:r>
      <w:r>
        <w:instrText>HYPERLINK \l "fn31" \h</w:instrText>
      </w:r>
      <w:r>
        <w:fldChar w:fldCharType="separate"/>
      </w:r>
      <w:r>
        <w:rPr>
          <w:rFonts w:ascii="inter" w:eastAsia="inter" w:hAnsi="inter" w:cs="inter"/>
          <w:u w:val="single"/>
          <w:vertAlign w:val="superscript"/>
        </w:rPr>
        <w:t>[31]</w:t>
      </w:r>
      <w:r>
        <w:fldChar w:fldCharType="end"/>
      </w:r>
      <w:bookmarkStart w:id="310" w:name="fnref22_24"/>
      <w:bookmarkEnd w:id="310"/>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63AAC3FB" w14:textId="77777777" w:rsidR="00CB47B0" w:rsidRDefault="00000000">
      <w:pPr>
        <w:spacing w:after="210" w:line="360" w:lineRule="auto"/>
      </w:pPr>
      <w:r>
        <w:rPr>
          <w:rFonts w:ascii="inter" w:eastAsia="inter" w:hAnsi="inter" w:cs="inter"/>
          <w:color w:val="000000"/>
        </w:rPr>
        <w:t>However, significant market entry barriers and risks require careful navigation. Regulatory uncertainty, particularly regarding offshore wind frameworks, DPPA implementation, and potential local content requirements, creates investment risk requiring phased market entry and partnership strategies. Grid infrastructure constraints and three-year delays for transmission connections may limit near-term project execution regardless of supply chain readiness. Recent retroactive FIT pricing changes demonstrate policy risk requiring contractual protections, political risk insurance, and careful partner selection. US-Vietnam trade tensions and tariff uncertainties add macro-economic risks affecting project economics and investment climate.</w:t>
      </w:r>
      <w:bookmarkStart w:id="311" w:name="fnref10_2"/>
      <w:bookmarkEnd w:id="311"/>
      <w:r>
        <w:fldChar w:fldCharType="begin"/>
      </w:r>
      <w:r>
        <w:instrText>HYPERLINK \l "fn10" \h</w:instrText>
      </w:r>
      <w:r>
        <w:fldChar w:fldCharType="separate"/>
      </w:r>
      <w:r>
        <w:rPr>
          <w:rFonts w:ascii="inter" w:eastAsia="inter" w:hAnsi="inter" w:cs="inter"/>
          <w:u w:val="single"/>
          <w:vertAlign w:val="superscript"/>
        </w:rPr>
        <w:t>[10]</w:t>
      </w:r>
      <w:r>
        <w:fldChar w:fldCharType="end"/>
      </w:r>
      <w:bookmarkStart w:id="312" w:name="fnref28_4"/>
      <w:bookmarkEnd w:id="312"/>
      <w:r>
        <w:fldChar w:fldCharType="begin"/>
      </w:r>
      <w:r>
        <w:instrText>HYPERLINK \l "fn28" \h</w:instrText>
      </w:r>
      <w:r>
        <w:fldChar w:fldCharType="separate"/>
      </w:r>
      <w:r>
        <w:rPr>
          <w:rFonts w:ascii="inter" w:eastAsia="inter" w:hAnsi="inter" w:cs="inter"/>
          <w:u w:val="single"/>
          <w:vertAlign w:val="superscript"/>
        </w:rPr>
        <w:t>[28]</w:t>
      </w:r>
      <w:r>
        <w:fldChar w:fldCharType="end"/>
      </w:r>
      <w:bookmarkStart w:id="313" w:name="fnref55_1"/>
      <w:bookmarkEnd w:id="313"/>
      <w:r>
        <w:fldChar w:fldCharType="begin"/>
      </w:r>
      <w:r>
        <w:instrText>HYPERLINK \l "fn55" \h</w:instrText>
      </w:r>
      <w:r>
        <w:fldChar w:fldCharType="separate"/>
      </w:r>
      <w:r>
        <w:rPr>
          <w:rFonts w:ascii="inter" w:eastAsia="inter" w:hAnsi="inter" w:cs="inter"/>
          <w:u w:val="single"/>
          <w:vertAlign w:val="superscript"/>
        </w:rPr>
        <w:t>[55]</w:t>
      </w:r>
      <w:r>
        <w:fldChar w:fldCharType="end"/>
      </w:r>
      <w:bookmarkStart w:id="314" w:name="fnref5_6"/>
      <w:bookmarkEnd w:id="314"/>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315" w:name="fnref9_4"/>
      <w:bookmarkEnd w:id="315"/>
      <w:r>
        <w:fldChar w:fldCharType="begin"/>
      </w:r>
      <w:r>
        <w:instrText>HYPERLINK \l "fn9" \h</w:instrText>
      </w:r>
      <w:r>
        <w:fldChar w:fldCharType="separate"/>
      </w:r>
      <w:r>
        <w:rPr>
          <w:rFonts w:ascii="inter" w:eastAsia="inter" w:hAnsi="inter" w:cs="inter"/>
          <w:u w:val="single"/>
          <w:vertAlign w:val="superscript"/>
        </w:rPr>
        <w:t>[9]</w:t>
      </w:r>
      <w:r>
        <w:fldChar w:fldCharType="end"/>
      </w:r>
      <w:bookmarkStart w:id="316" w:name="fnref16_3"/>
      <w:bookmarkEnd w:id="316"/>
      <w:r>
        <w:fldChar w:fldCharType="begin"/>
      </w:r>
      <w:r>
        <w:instrText>HYPERLINK \l "fn16" \h</w:instrText>
      </w:r>
      <w:r>
        <w:fldChar w:fldCharType="separate"/>
      </w:r>
      <w:r>
        <w:rPr>
          <w:rFonts w:ascii="inter" w:eastAsia="inter" w:hAnsi="inter" w:cs="inter"/>
          <w:u w:val="single"/>
          <w:vertAlign w:val="superscript"/>
        </w:rPr>
        <w:t>[16]</w:t>
      </w:r>
      <w:r>
        <w:fldChar w:fldCharType="end"/>
      </w:r>
      <w:bookmarkStart w:id="317" w:name="fnref14_5"/>
      <w:bookmarkEnd w:id="317"/>
      <w:r>
        <w:fldChar w:fldCharType="begin"/>
      </w:r>
      <w:r>
        <w:instrText>HYPERLINK \l "fn14" \h</w:instrText>
      </w:r>
      <w:r>
        <w:fldChar w:fldCharType="separate"/>
      </w:r>
      <w:r>
        <w:rPr>
          <w:rFonts w:ascii="inter" w:eastAsia="inter" w:hAnsi="inter" w:cs="inter"/>
          <w:u w:val="single"/>
          <w:vertAlign w:val="superscript"/>
        </w:rPr>
        <w:t>[14]</w:t>
      </w:r>
      <w:r>
        <w:fldChar w:fldCharType="end"/>
      </w:r>
      <w:bookmarkStart w:id="318" w:name="fnref8_5"/>
      <w:bookmarkEnd w:id="318"/>
      <w:r>
        <w:fldChar w:fldCharType="begin"/>
      </w:r>
      <w:r>
        <w:instrText>HYPERLINK \l "fn8" \h</w:instrText>
      </w:r>
      <w:r>
        <w:fldChar w:fldCharType="separate"/>
      </w:r>
      <w:r>
        <w:rPr>
          <w:rFonts w:ascii="inter" w:eastAsia="inter" w:hAnsi="inter" w:cs="inter"/>
          <w:u w:val="single"/>
          <w:vertAlign w:val="superscript"/>
        </w:rPr>
        <w:t>[8]</w:t>
      </w:r>
      <w:r>
        <w:fldChar w:fldCharType="end"/>
      </w:r>
    </w:p>
    <w:p w14:paraId="292D62B4" w14:textId="77777777" w:rsidR="00CB47B0" w:rsidRDefault="00000000">
      <w:pPr>
        <w:spacing w:before="315" w:after="105" w:line="360" w:lineRule="auto"/>
        <w:ind w:left="-30"/>
      </w:pPr>
      <w:bookmarkStart w:id="319" w:name="priority_sector_recommendations"/>
      <w:r>
        <w:rPr>
          <w:rFonts w:ascii="inter" w:eastAsia="inter" w:hAnsi="inter" w:cs="inter"/>
          <w:b/>
          <w:color w:val="000000"/>
          <w:sz w:val="24"/>
        </w:rPr>
        <w:t>Priority Sector Recommendations</w:t>
      </w:r>
      <w:bookmarkEnd w:id="319"/>
    </w:p>
    <w:p w14:paraId="4D306A28" w14:textId="77777777" w:rsidR="00CB47B0" w:rsidRDefault="00000000">
      <w:pPr>
        <w:spacing w:after="210" w:line="360" w:lineRule="auto"/>
      </w:pPr>
      <w:r>
        <w:rPr>
          <w:rFonts w:ascii="inter" w:eastAsia="inter" w:hAnsi="inter" w:cs="inter"/>
          <w:b/>
          <w:color w:val="000000"/>
        </w:rPr>
        <w:t>Offshore Wind Decommissioning</w:t>
      </w:r>
      <w:r>
        <w:rPr>
          <w:rFonts w:ascii="inter" w:eastAsia="inter" w:hAnsi="inter" w:cs="inter"/>
          <w:color w:val="000000"/>
        </w:rPr>
        <w:t xml:space="preserve"> represents the highest-priority immediate opportunity combining large market potential with exceptional Scottish competitive advantage. Vietnam's aging offshore oil and gas infrastructure requires decommissioning over coming decades, with the Song Doc project demonstrating market emergence. Scottish companies should prioritize establishing decommissioning presence through partnerships with PetroVietnam subsidiaries, participation in Song Doc follow-on work, and positioning for Nam Con Son Basin decommissioning projects. Specific actions include engaging Vietnam Petroleum Institute to discuss well abandonment technology demonstrations, partnering with PVEP POC or other operators on decommissioning studies, and hosting Vietnamese delegations to Scottish decommissioning facilities to showcase capabilities.</w:t>
      </w:r>
      <w:bookmarkStart w:id="320" w:name="fnref36_3"/>
      <w:bookmarkEnd w:id="320"/>
      <w:r>
        <w:fldChar w:fldCharType="begin"/>
      </w:r>
      <w:r>
        <w:instrText>HYPERLINK \l "fn36" \h</w:instrText>
      </w:r>
      <w:r>
        <w:fldChar w:fldCharType="separate"/>
      </w:r>
      <w:r>
        <w:rPr>
          <w:rFonts w:ascii="inter" w:eastAsia="inter" w:hAnsi="inter" w:cs="inter"/>
          <w:u w:val="single"/>
          <w:vertAlign w:val="superscript"/>
        </w:rPr>
        <w:t>[36]</w:t>
      </w:r>
      <w:r>
        <w:fldChar w:fldCharType="end"/>
      </w:r>
      <w:bookmarkStart w:id="321" w:name="fnref35_4"/>
      <w:bookmarkEnd w:id="321"/>
      <w:r>
        <w:fldChar w:fldCharType="begin"/>
      </w:r>
      <w:r>
        <w:instrText>HYPERLINK \l "fn35" \h</w:instrText>
      </w:r>
      <w:r>
        <w:fldChar w:fldCharType="separate"/>
      </w:r>
      <w:r>
        <w:rPr>
          <w:rFonts w:ascii="inter" w:eastAsia="inter" w:hAnsi="inter" w:cs="inter"/>
          <w:u w:val="single"/>
          <w:vertAlign w:val="superscript"/>
        </w:rPr>
        <w:t>[35]</w:t>
      </w:r>
      <w:r>
        <w:fldChar w:fldCharType="end"/>
      </w:r>
      <w:bookmarkStart w:id="322" w:name="fnref44_4"/>
      <w:bookmarkEnd w:id="322"/>
      <w:r>
        <w:fldChar w:fldCharType="begin"/>
      </w:r>
      <w:r>
        <w:instrText>HYPERLINK \l "fn44" \h</w:instrText>
      </w:r>
      <w:r>
        <w:fldChar w:fldCharType="separate"/>
      </w:r>
      <w:r>
        <w:rPr>
          <w:rFonts w:ascii="inter" w:eastAsia="inter" w:hAnsi="inter" w:cs="inter"/>
          <w:u w:val="single"/>
          <w:vertAlign w:val="superscript"/>
        </w:rPr>
        <w:t>[44]</w:t>
      </w:r>
      <w:r>
        <w:fldChar w:fldCharType="end"/>
      </w:r>
      <w:bookmarkStart w:id="323" w:name="fnref22_25"/>
      <w:bookmarkEnd w:id="323"/>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55656768" w14:textId="77777777" w:rsidR="00CB47B0" w:rsidRDefault="00000000">
      <w:pPr>
        <w:spacing w:after="210" w:line="360" w:lineRule="auto"/>
      </w:pPr>
      <w:r>
        <w:rPr>
          <w:rFonts w:ascii="inter" w:eastAsia="inter" w:hAnsi="inter" w:cs="inter"/>
          <w:b/>
          <w:color w:val="000000"/>
        </w:rPr>
        <w:t>Offshore Wind Engineering Services</w:t>
      </w:r>
      <w:r>
        <w:rPr>
          <w:rFonts w:ascii="inter" w:eastAsia="inter" w:hAnsi="inter" w:cs="inter"/>
          <w:color w:val="000000"/>
        </w:rPr>
        <w:t xml:space="preserve"> constitute the second priority, focusing initially on FEED and detailed design services before moving to fabrication oversight and installation support as projects mature. Target projects include Thang Long (3.4 GW), La Gan (3.5 GW), and Can Gio (6 GW), prioritizing those advancing toward financial close soonest. Scottish companies should position as foundation design consultants, offshore substation integration specialists, and installation engineering service providers rather than competing directly with Asian fabrication yards on price. Partnerships with PTSC for foundation and OSS work, collaboration with international developers like CIP and </w:t>
      </w:r>
      <w:proofErr w:type="spellStart"/>
      <w:r>
        <w:rPr>
          <w:rFonts w:ascii="inter" w:eastAsia="inter" w:hAnsi="inter" w:cs="inter"/>
          <w:color w:val="000000"/>
        </w:rPr>
        <w:t>Enterprize</w:t>
      </w:r>
      <w:proofErr w:type="spellEnd"/>
      <w:r>
        <w:rPr>
          <w:rFonts w:ascii="inter" w:eastAsia="inter" w:hAnsi="inter" w:cs="inter"/>
          <w:color w:val="000000"/>
        </w:rPr>
        <w:t xml:space="preserve"> Energy for engineering services, and teaming with cable suppliers for subsea electrical integration create multiple market entry pathways.</w:t>
      </w:r>
      <w:bookmarkStart w:id="324" w:name="fnref52_1"/>
      <w:bookmarkEnd w:id="324"/>
      <w:r>
        <w:fldChar w:fldCharType="begin"/>
      </w:r>
      <w:r>
        <w:instrText>HYPERLINK \l "fn52" \h</w:instrText>
      </w:r>
      <w:r>
        <w:fldChar w:fldCharType="separate"/>
      </w:r>
      <w:r>
        <w:rPr>
          <w:rFonts w:ascii="inter" w:eastAsia="inter" w:hAnsi="inter" w:cs="inter"/>
          <w:u w:val="single"/>
          <w:vertAlign w:val="superscript"/>
        </w:rPr>
        <w:t>[52]</w:t>
      </w:r>
      <w:r>
        <w:fldChar w:fldCharType="end"/>
      </w:r>
      <w:bookmarkStart w:id="325" w:name="fnref40_2"/>
      <w:bookmarkEnd w:id="325"/>
      <w:r>
        <w:fldChar w:fldCharType="begin"/>
      </w:r>
      <w:r>
        <w:instrText>HYPERLINK \l "fn40" \h</w:instrText>
      </w:r>
      <w:r>
        <w:fldChar w:fldCharType="separate"/>
      </w:r>
      <w:r>
        <w:rPr>
          <w:rFonts w:ascii="inter" w:eastAsia="inter" w:hAnsi="inter" w:cs="inter"/>
          <w:u w:val="single"/>
          <w:vertAlign w:val="superscript"/>
        </w:rPr>
        <w:t>[40]</w:t>
      </w:r>
      <w:r>
        <w:fldChar w:fldCharType="end"/>
      </w:r>
      <w:bookmarkStart w:id="326" w:name="fnref50_1"/>
      <w:bookmarkEnd w:id="326"/>
      <w:r>
        <w:fldChar w:fldCharType="begin"/>
      </w:r>
      <w:r>
        <w:instrText>HYPERLINK \l "fn50" \h</w:instrText>
      </w:r>
      <w:r>
        <w:fldChar w:fldCharType="separate"/>
      </w:r>
      <w:r>
        <w:rPr>
          <w:rFonts w:ascii="inter" w:eastAsia="inter" w:hAnsi="inter" w:cs="inter"/>
          <w:u w:val="single"/>
          <w:vertAlign w:val="superscript"/>
        </w:rPr>
        <w:t>[50]</w:t>
      </w:r>
      <w:r>
        <w:fldChar w:fldCharType="end"/>
      </w:r>
      <w:bookmarkStart w:id="327" w:name="fnref43_3"/>
      <w:bookmarkEnd w:id="327"/>
      <w:r>
        <w:fldChar w:fldCharType="begin"/>
      </w:r>
      <w:r>
        <w:instrText>HYPERLINK \l "fn43" \h</w:instrText>
      </w:r>
      <w:r>
        <w:fldChar w:fldCharType="separate"/>
      </w:r>
      <w:r>
        <w:rPr>
          <w:rFonts w:ascii="inter" w:eastAsia="inter" w:hAnsi="inter" w:cs="inter"/>
          <w:u w:val="single"/>
          <w:vertAlign w:val="superscript"/>
        </w:rPr>
        <w:t>[43]</w:t>
      </w:r>
      <w:r>
        <w:fldChar w:fldCharType="end"/>
      </w:r>
      <w:bookmarkStart w:id="328" w:name="fnref53_3"/>
      <w:bookmarkEnd w:id="328"/>
      <w:r>
        <w:fldChar w:fldCharType="begin"/>
      </w:r>
      <w:r>
        <w:instrText>HYPERLINK \l "fn53" \h</w:instrText>
      </w:r>
      <w:r>
        <w:fldChar w:fldCharType="separate"/>
      </w:r>
      <w:r>
        <w:rPr>
          <w:rFonts w:ascii="inter" w:eastAsia="inter" w:hAnsi="inter" w:cs="inter"/>
          <w:u w:val="single"/>
          <w:vertAlign w:val="superscript"/>
        </w:rPr>
        <w:t>[53]</w:t>
      </w:r>
      <w:r>
        <w:fldChar w:fldCharType="end"/>
      </w:r>
      <w:bookmarkStart w:id="329" w:name="fnref18_11"/>
      <w:bookmarkEnd w:id="329"/>
      <w:r>
        <w:fldChar w:fldCharType="begin"/>
      </w:r>
      <w:r>
        <w:instrText>HYPERLINK \l "fn18" \h</w:instrText>
      </w:r>
      <w:r>
        <w:fldChar w:fldCharType="separate"/>
      </w:r>
      <w:r>
        <w:rPr>
          <w:rFonts w:ascii="inter" w:eastAsia="inter" w:hAnsi="inter" w:cs="inter"/>
          <w:u w:val="single"/>
          <w:vertAlign w:val="superscript"/>
        </w:rPr>
        <w:t>[18]</w:t>
      </w:r>
      <w:r>
        <w:fldChar w:fldCharType="end"/>
      </w:r>
      <w:bookmarkStart w:id="330" w:name="fnref32_13"/>
      <w:bookmarkEnd w:id="330"/>
      <w:r>
        <w:fldChar w:fldCharType="begin"/>
      </w:r>
      <w:r>
        <w:instrText>HYPERLINK \l "fn32" \h</w:instrText>
      </w:r>
      <w:r>
        <w:fldChar w:fldCharType="separate"/>
      </w:r>
      <w:r>
        <w:rPr>
          <w:rFonts w:ascii="inter" w:eastAsia="inter" w:hAnsi="inter" w:cs="inter"/>
          <w:u w:val="single"/>
          <w:vertAlign w:val="superscript"/>
        </w:rPr>
        <w:t>[32]</w:t>
      </w:r>
      <w:r>
        <w:fldChar w:fldCharType="end"/>
      </w:r>
    </w:p>
    <w:p w14:paraId="2E3CE9AF" w14:textId="77777777" w:rsidR="00CB47B0" w:rsidRDefault="00000000">
      <w:pPr>
        <w:spacing w:after="210" w:line="360" w:lineRule="auto"/>
      </w:pPr>
      <w:r>
        <w:rPr>
          <w:rFonts w:ascii="inter" w:eastAsia="inter" w:hAnsi="inter" w:cs="inter"/>
          <w:b/>
          <w:color w:val="000000"/>
        </w:rPr>
        <w:t>Operations and Maintenance Services</w:t>
      </w:r>
      <w:r>
        <w:rPr>
          <w:rFonts w:ascii="inter" w:eastAsia="inter" w:hAnsi="inter" w:cs="inter"/>
          <w:color w:val="000000"/>
        </w:rPr>
        <w:t xml:space="preserve"> offer long-duration revenue streams once offshore wind farms achieve commercial operation. Scottish companies should position for O&amp;M contracts through early engagement with developers, demonstration of remote operations capabilities, and establishment of Vietnamese O&amp;M bases potentially co-located with oil and gas support facilities in Vung Tau. Training programs for Vietnamese technicians, potentially linked to F4OR-model capability development programs, create local presence while addressing workforce gaps. Digital monitoring and predictive maintenance solutions leveraging Scottish innovation in offshore asset management differentiate offerings from traditional time-based maintenance approaches.</w:t>
      </w:r>
      <w:bookmarkStart w:id="331" w:name="fnref38_8"/>
      <w:bookmarkEnd w:id="331"/>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332" w:name="fnref21_10"/>
      <w:bookmarkEnd w:id="332"/>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333" w:name="fnref32_14"/>
      <w:bookmarkEnd w:id="333"/>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334" w:name="fnref33_13"/>
      <w:bookmarkEnd w:id="334"/>
      <w:r>
        <w:fldChar w:fldCharType="begin"/>
      </w:r>
      <w:r>
        <w:instrText>HYPERLINK \l "fn33" \h</w:instrText>
      </w:r>
      <w:r>
        <w:fldChar w:fldCharType="separate"/>
      </w:r>
      <w:r>
        <w:rPr>
          <w:rFonts w:ascii="inter" w:eastAsia="inter" w:hAnsi="inter" w:cs="inter"/>
          <w:u w:val="single"/>
          <w:vertAlign w:val="superscript"/>
        </w:rPr>
        <w:t>[33]</w:t>
      </w:r>
      <w:r>
        <w:fldChar w:fldCharType="end"/>
      </w:r>
      <w:bookmarkStart w:id="335" w:name="fnref31_11"/>
      <w:bookmarkEnd w:id="335"/>
      <w:r>
        <w:fldChar w:fldCharType="begin"/>
      </w:r>
      <w:r>
        <w:instrText>HYPERLINK \l "fn31" \h</w:instrText>
      </w:r>
      <w:r>
        <w:fldChar w:fldCharType="separate"/>
      </w:r>
      <w:r>
        <w:rPr>
          <w:rFonts w:ascii="inter" w:eastAsia="inter" w:hAnsi="inter" w:cs="inter"/>
          <w:u w:val="single"/>
          <w:vertAlign w:val="superscript"/>
        </w:rPr>
        <w:t>[31]</w:t>
      </w:r>
      <w:r>
        <w:fldChar w:fldCharType="end"/>
      </w:r>
      <w:bookmarkStart w:id="336" w:name="fnref22_26"/>
      <w:bookmarkEnd w:id="336"/>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71DD9D70" w14:textId="77777777" w:rsidR="00CB47B0" w:rsidRDefault="00000000">
      <w:pPr>
        <w:spacing w:after="210" w:line="360" w:lineRule="auto"/>
      </w:pPr>
      <w:r>
        <w:rPr>
          <w:rFonts w:ascii="inter" w:eastAsia="inter" w:hAnsi="inter" w:cs="inter"/>
          <w:b/>
          <w:color w:val="000000"/>
        </w:rPr>
        <w:t>CCUS Engineering and Integration</w:t>
      </w:r>
      <w:r>
        <w:rPr>
          <w:rFonts w:ascii="inter" w:eastAsia="inter" w:hAnsi="inter" w:cs="inter"/>
          <w:color w:val="000000"/>
        </w:rPr>
        <w:t xml:space="preserve"> represents a strategic opportunity in an emerging sector where early positioning establishes competitive advantage. Following Black &amp; Veatch's feasibility studies, Scottish companies should engage Vietnam Petroleum Institute, Petrovietnam, and power plant operators to offer FEED services for CCUS implementation. Hosting Vietnamese technical delegations to Scottish CCUS projects like Acorn, providing technical advisory services for Vietnam's CCUS roadmap development, and partnering with Vietnamese engineering firms for local CCUS implementation create multiple engagement pathways. The relatively low competition in this nascent market enables positioning before established players dominate.</w:t>
      </w:r>
      <w:bookmarkStart w:id="337" w:name="fnref24_7"/>
      <w:bookmarkEnd w:id="337"/>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338" w:name="fnref44_5"/>
      <w:bookmarkEnd w:id="338"/>
      <w:r>
        <w:fldChar w:fldCharType="begin"/>
      </w:r>
      <w:r>
        <w:instrText>HYPERLINK \l "fn44" \h</w:instrText>
      </w:r>
      <w:r>
        <w:fldChar w:fldCharType="separate"/>
      </w:r>
      <w:r>
        <w:rPr>
          <w:rFonts w:ascii="inter" w:eastAsia="inter" w:hAnsi="inter" w:cs="inter"/>
          <w:u w:val="single"/>
          <w:vertAlign w:val="superscript"/>
        </w:rPr>
        <w:t>[44]</w:t>
      </w:r>
      <w:r>
        <w:fldChar w:fldCharType="end"/>
      </w:r>
      <w:bookmarkStart w:id="339" w:name="fnref23_5"/>
      <w:bookmarkEnd w:id="339"/>
      <w:r>
        <w:fldChar w:fldCharType="begin"/>
      </w:r>
      <w:r>
        <w:instrText>HYPERLINK \l "fn23" \h</w:instrText>
      </w:r>
      <w:r>
        <w:fldChar w:fldCharType="separate"/>
      </w:r>
      <w:r>
        <w:rPr>
          <w:rFonts w:ascii="inter" w:eastAsia="inter" w:hAnsi="inter" w:cs="inter"/>
          <w:u w:val="single"/>
          <w:vertAlign w:val="superscript"/>
        </w:rPr>
        <w:t>[23]</w:t>
      </w:r>
      <w:r>
        <w:fldChar w:fldCharType="end"/>
      </w:r>
      <w:bookmarkStart w:id="340" w:name="fnref33_14"/>
      <w:bookmarkEnd w:id="340"/>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5DEDBABC" w14:textId="77777777" w:rsidR="00CB47B0" w:rsidRDefault="00000000">
      <w:pPr>
        <w:spacing w:after="210" w:line="360" w:lineRule="auto"/>
      </w:pPr>
      <w:r>
        <w:rPr>
          <w:rFonts w:ascii="inter" w:eastAsia="inter" w:hAnsi="inter" w:cs="inter"/>
          <w:b/>
          <w:color w:val="000000"/>
        </w:rPr>
        <w:t>Green Hydrogen Project Integration</w:t>
      </w:r>
      <w:r>
        <w:rPr>
          <w:rFonts w:ascii="inter" w:eastAsia="inter" w:hAnsi="inter" w:cs="inter"/>
          <w:color w:val="000000"/>
        </w:rPr>
        <w:t xml:space="preserve"> services address complex renewable energy integration challenges where Scottish offshore wind and grid integration expertise provides value. Rather than competing with </w:t>
      </w:r>
      <w:proofErr w:type="spellStart"/>
      <w:r>
        <w:rPr>
          <w:rFonts w:ascii="inter" w:eastAsia="inter" w:hAnsi="inter" w:cs="inter"/>
          <w:color w:val="000000"/>
        </w:rPr>
        <w:t>electrolyzer</w:t>
      </w:r>
      <w:proofErr w:type="spellEnd"/>
      <w:r>
        <w:rPr>
          <w:rFonts w:ascii="inter" w:eastAsia="inter" w:hAnsi="inter" w:cs="inter"/>
          <w:color w:val="000000"/>
        </w:rPr>
        <w:t xml:space="preserve"> manufacturers, Scottish companies should focus on renewable energy resource optimization, hybrid wind-solar-storage system design, and balance of plant engineering for hydrogen production facilities. Partnership with The Green Solutions on Tra Vinh and Ben Tre projects or similar developments creates reference cases demonstrating capabilities in the Vietnamese market context.</w:t>
      </w:r>
      <w:bookmarkStart w:id="341" w:name="fnref60"/>
      <w:bookmarkEnd w:id="341"/>
      <w:r>
        <w:fldChar w:fldCharType="begin"/>
      </w:r>
      <w:r>
        <w:instrText>HYPERLINK \l "fn60" \h</w:instrText>
      </w:r>
      <w:r>
        <w:fldChar w:fldCharType="separate"/>
      </w:r>
      <w:r>
        <w:rPr>
          <w:rFonts w:ascii="inter" w:eastAsia="inter" w:hAnsi="inter" w:cs="inter"/>
          <w:u w:val="single"/>
          <w:vertAlign w:val="superscript"/>
        </w:rPr>
        <w:t>[60]</w:t>
      </w:r>
      <w:r>
        <w:fldChar w:fldCharType="end"/>
      </w:r>
      <w:bookmarkStart w:id="342" w:name="fnref25_7"/>
      <w:bookmarkEnd w:id="342"/>
      <w:r>
        <w:fldChar w:fldCharType="begin"/>
      </w:r>
      <w:r>
        <w:instrText>HYPERLINK \l "fn25" \h</w:instrText>
      </w:r>
      <w:r>
        <w:fldChar w:fldCharType="separate"/>
      </w:r>
      <w:r>
        <w:rPr>
          <w:rFonts w:ascii="inter" w:eastAsia="inter" w:hAnsi="inter" w:cs="inter"/>
          <w:u w:val="single"/>
          <w:vertAlign w:val="superscript"/>
        </w:rPr>
        <w:t>[25]</w:t>
      </w:r>
      <w:r>
        <w:fldChar w:fldCharType="end"/>
      </w:r>
      <w:bookmarkStart w:id="343" w:name="fnref27_4"/>
      <w:bookmarkEnd w:id="343"/>
      <w:r>
        <w:fldChar w:fldCharType="begin"/>
      </w:r>
      <w:r>
        <w:instrText>HYPERLINK \l "fn27" \h</w:instrText>
      </w:r>
      <w:r>
        <w:fldChar w:fldCharType="separate"/>
      </w:r>
      <w:r>
        <w:rPr>
          <w:rFonts w:ascii="inter" w:eastAsia="inter" w:hAnsi="inter" w:cs="inter"/>
          <w:u w:val="single"/>
          <w:vertAlign w:val="superscript"/>
        </w:rPr>
        <w:t>[27]</w:t>
      </w:r>
      <w:r>
        <w:fldChar w:fldCharType="end"/>
      </w:r>
      <w:bookmarkStart w:id="344" w:name="fnref33_15"/>
      <w:bookmarkEnd w:id="344"/>
      <w:r>
        <w:fldChar w:fldCharType="begin"/>
      </w:r>
      <w:r>
        <w:instrText>HYPERLINK \l "fn33" \h</w:instrText>
      </w:r>
      <w:r>
        <w:fldChar w:fldCharType="separate"/>
      </w:r>
      <w:r>
        <w:rPr>
          <w:rFonts w:ascii="inter" w:eastAsia="inter" w:hAnsi="inter" w:cs="inter"/>
          <w:u w:val="single"/>
          <w:vertAlign w:val="superscript"/>
        </w:rPr>
        <w:t>[33]</w:t>
      </w:r>
      <w:r>
        <w:fldChar w:fldCharType="end"/>
      </w:r>
    </w:p>
    <w:p w14:paraId="0421B19E" w14:textId="77777777" w:rsidR="00CB47B0" w:rsidRDefault="00000000" w:rsidP="00A460CE">
      <w:pPr>
        <w:pStyle w:val="Heading1"/>
      </w:pPr>
      <w:bookmarkStart w:id="345" w:name="market_entry_strategy_recommendations"/>
      <w:r>
        <w:rPr>
          <w:rFonts w:eastAsia="inter"/>
        </w:rPr>
        <w:t>Market Entry Strategy Recommendations</w:t>
      </w:r>
      <w:bookmarkEnd w:id="345"/>
    </w:p>
    <w:p w14:paraId="1BA79C6B" w14:textId="77777777" w:rsidR="00CB47B0" w:rsidRDefault="00000000">
      <w:pPr>
        <w:spacing w:after="210" w:line="360" w:lineRule="auto"/>
      </w:pPr>
      <w:r>
        <w:rPr>
          <w:rFonts w:ascii="inter" w:eastAsia="inter" w:hAnsi="inter" w:cs="inter"/>
          <w:b/>
          <w:color w:val="000000"/>
        </w:rPr>
        <w:t>Partnership Development</w:t>
      </w:r>
      <w:r>
        <w:rPr>
          <w:rFonts w:ascii="inter" w:eastAsia="inter" w:hAnsi="inter" w:cs="inter"/>
          <w:color w:val="000000"/>
        </w:rPr>
        <w:t xml:space="preserve"> should constitute the foundation of Vietnamese market entry strategies. Joint ventures with Vietnamese state-owned enterprises like PTSC, PetroVietnam, or Vietnam Electricity provide local market knowledge, government relationships, and credibility while potentially satisfying future local content expectations. Partnerships with established international developers like Copenhagen Infrastructure Partners, Ørsted, or </w:t>
      </w:r>
      <w:proofErr w:type="spellStart"/>
      <w:r>
        <w:rPr>
          <w:rFonts w:ascii="inter" w:eastAsia="inter" w:hAnsi="inter" w:cs="inter"/>
          <w:color w:val="000000"/>
        </w:rPr>
        <w:t>Enterprize</w:t>
      </w:r>
      <w:proofErr w:type="spellEnd"/>
      <w:r>
        <w:rPr>
          <w:rFonts w:ascii="inter" w:eastAsia="inter" w:hAnsi="inter" w:cs="inter"/>
          <w:color w:val="000000"/>
        </w:rPr>
        <w:t xml:space="preserve"> Energy provide project access and credibility as subcontractors or service providers. Engaging Vietnamese engineering firms and service companies in capability development partnerships, potentially modeled on F4OR programs, creates win-win relationships supporting market access while building local capabilities.</w:t>
      </w:r>
      <w:bookmarkStart w:id="346" w:name="fnref50_2"/>
      <w:bookmarkEnd w:id="346"/>
      <w:r>
        <w:fldChar w:fldCharType="begin"/>
      </w:r>
      <w:r>
        <w:instrText>HYPERLINK \l "fn50" \h</w:instrText>
      </w:r>
      <w:r>
        <w:fldChar w:fldCharType="separate"/>
      </w:r>
      <w:r>
        <w:rPr>
          <w:rFonts w:ascii="inter" w:eastAsia="inter" w:hAnsi="inter" w:cs="inter"/>
          <w:u w:val="single"/>
          <w:vertAlign w:val="superscript"/>
        </w:rPr>
        <w:t>[50]</w:t>
      </w:r>
      <w:r>
        <w:fldChar w:fldCharType="end"/>
      </w:r>
      <w:bookmarkStart w:id="347" w:name="fnref42_5"/>
      <w:bookmarkEnd w:id="347"/>
      <w:r>
        <w:fldChar w:fldCharType="begin"/>
      </w:r>
      <w:r>
        <w:instrText>HYPERLINK \l "fn42" \h</w:instrText>
      </w:r>
      <w:r>
        <w:fldChar w:fldCharType="separate"/>
      </w:r>
      <w:r>
        <w:rPr>
          <w:rFonts w:ascii="inter" w:eastAsia="inter" w:hAnsi="inter" w:cs="inter"/>
          <w:u w:val="single"/>
          <w:vertAlign w:val="superscript"/>
        </w:rPr>
        <w:t>[42]</w:t>
      </w:r>
      <w:r>
        <w:fldChar w:fldCharType="end"/>
      </w:r>
      <w:bookmarkStart w:id="348" w:name="fnref53_4"/>
      <w:bookmarkEnd w:id="348"/>
      <w:r>
        <w:fldChar w:fldCharType="begin"/>
      </w:r>
      <w:r>
        <w:instrText>HYPERLINK \l "fn53" \h</w:instrText>
      </w:r>
      <w:r>
        <w:fldChar w:fldCharType="separate"/>
      </w:r>
      <w:r>
        <w:rPr>
          <w:rFonts w:ascii="inter" w:eastAsia="inter" w:hAnsi="inter" w:cs="inter"/>
          <w:u w:val="single"/>
          <w:vertAlign w:val="superscript"/>
        </w:rPr>
        <w:t>[53]</w:t>
      </w:r>
      <w:r>
        <w:fldChar w:fldCharType="end"/>
      </w:r>
      <w:bookmarkStart w:id="349" w:name="fnref19_6"/>
      <w:bookmarkEnd w:id="349"/>
      <w:r>
        <w:fldChar w:fldCharType="begin"/>
      </w:r>
      <w:r>
        <w:instrText>HYPERLINK \l "fn19" \h</w:instrText>
      </w:r>
      <w:r>
        <w:fldChar w:fldCharType="separate"/>
      </w:r>
      <w:r>
        <w:rPr>
          <w:rFonts w:ascii="inter" w:eastAsia="inter" w:hAnsi="inter" w:cs="inter"/>
          <w:u w:val="single"/>
          <w:vertAlign w:val="superscript"/>
        </w:rPr>
        <w:t>[19]</w:t>
      </w:r>
      <w:r>
        <w:fldChar w:fldCharType="end"/>
      </w:r>
      <w:bookmarkStart w:id="350" w:name="fnref30_6"/>
      <w:bookmarkEnd w:id="350"/>
      <w:r>
        <w:fldChar w:fldCharType="begin"/>
      </w:r>
      <w:r>
        <w:instrText>HYPERLINK \l "fn30" \h</w:instrText>
      </w:r>
      <w:r>
        <w:fldChar w:fldCharType="separate"/>
      </w:r>
      <w:r>
        <w:rPr>
          <w:rFonts w:ascii="inter" w:eastAsia="inter" w:hAnsi="inter" w:cs="inter"/>
          <w:u w:val="single"/>
          <w:vertAlign w:val="superscript"/>
        </w:rPr>
        <w:t>[30]</w:t>
      </w:r>
      <w:r>
        <w:fldChar w:fldCharType="end"/>
      </w:r>
      <w:bookmarkStart w:id="351" w:name="fnref18_12"/>
      <w:bookmarkEnd w:id="351"/>
      <w:r>
        <w:fldChar w:fldCharType="begin"/>
      </w:r>
      <w:r>
        <w:instrText>HYPERLINK \l "fn18" \h</w:instrText>
      </w:r>
      <w:r>
        <w:fldChar w:fldCharType="separate"/>
      </w:r>
      <w:r>
        <w:rPr>
          <w:rFonts w:ascii="inter" w:eastAsia="inter" w:hAnsi="inter" w:cs="inter"/>
          <w:u w:val="single"/>
          <w:vertAlign w:val="superscript"/>
        </w:rPr>
        <w:t>[18]</w:t>
      </w:r>
      <w:r>
        <w:fldChar w:fldCharType="end"/>
      </w:r>
      <w:bookmarkStart w:id="352" w:name="fnref21_11"/>
      <w:bookmarkEnd w:id="352"/>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353" w:name="fnref38_9"/>
      <w:bookmarkEnd w:id="353"/>
      <w:r>
        <w:fldChar w:fldCharType="begin"/>
      </w:r>
      <w:r>
        <w:instrText>HYPERLINK \l "fn38" \h</w:instrText>
      </w:r>
      <w:r>
        <w:fldChar w:fldCharType="separate"/>
      </w:r>
      <w:r>
        <w:rPr>
          <w:rFonts w:ascii="inter" w:eastAsia="inter" w:hAnsi="inter" w:cs="inter"/>
          <w:u w:val="single"/>
          <w:vertAlign w:val="superscript"/>
        </w:rPr>
        <w:t>[38]</w:t>
      </w:r>
      <w:r>
        <w:fldChar w:fldCharType="end"/>
      </w:r>
    </w:p>
    <w:p w14:paraId="08287A2F" w14:textId="77777777" w:rsidR="00CB47B0" w:rsidRDefault="00000000">
      <w:pPr>
        <w:spacing w:after="210" w:line="360" w:lineRule="auto"/>
      </w:pPr>
      <w:r>
        <w:rPr>
          <w:rFonts w:ascii="inter" w:eastAsia="inter" w:hAnsi="inter" w:cs="inter"/>
          <w:b/>
          <w:color w:val="000000"/>
        </w:rPr>
        <w:t>Staged Market Entry</w:t>
      </w:r>
      <w:r>
        <w:rPr>
          <w:rFonts w:ascii="inter" w:eastAsia="inter" w:hAnsi="inter" w:cs="inter"/>
          <w:color w:val="000000"/>
        </w:rPr>
        <w:t xml:space="preserve"> mitigates risk while building market presence and knowledge. Initial engagement through technical studies, FEED services, or advisory roles requires limited capital investment while establishing credibility and relationships. Subsequent progression to equipment supply or fabrication oversight roles increases involvement aligned with project maturation and relationship development. Long-term establishment of local service bases, joint venture manufacturing facilities, or regional hubs represents final stages after market knowledge and project pipeline warrant sustained presence.</w:t>
      </w:r>
      <w:bookmarkStart w:id="354" w:name="fnref19_7"/>
      <w:bookmarkEnd w:id="354"/>
      <w:r>
        <w:fldChar w:fldCharType="begin"/>
      </w:r>
      <w:r>
        <w:instrText>HYPERLINK \l "fn19" \h</w:instrText>
      </w:r>
      <w:r>
        <w:fldChar w:fldCharType="separate"/>
      </w:r>
      <w:r>
        <w:rPr>
          <w:rFonts w:ascii="inter" w:eastAsia="inter" w:hAnsi="inter" w:cs="inter"/>
          <w:u w:val="single"/>
          <w:vertAlign w:val="superscript"/>
        </w:rPr>
        <w:t>[19]</w:t>
      </w:r>
      <w:r>
        <w:fldChar w:fldCharType="end"/>
      </w:r>
      <w:bookmarkStart w:id="355" w:name="fnref20_6"/>
      <w:bookmarkEnd w:id="355"/>
      <w:r>
        <w:fldChar w:fldCharType="begin"/>
      </w:r>
      <w:r>
        <w:instrText>HYPERLINK \l "fn20" \h</w:instrText>
      </w:r>
      <w:r>
        <w:fldChar w:fldCharType="separate"/>
      </w:r>
      <w:r>
        <w:rPr>
          <w:rFonts w:ascii="inter" w:eastAsia="inter" w:hAnsi="inter" w:cs="inter"/>
          <w:u w:val="single"/>
          <w:vertAlign w:val="superscript"/>
        </w:rPr>
        <w:t>[20]</w:t>
      </w:r>
      <w:r>
        <w:fldChar w:fldCharType="end"/>
      </w:r>
      <w:bookmarkStart w:id="356" w:name="fnref24_8"/>
      <w:bookmarkEnd w:id="356"/>
      <w:r>
        <w:fldChar w:fldCharType="begin"/>
      </w:r>
      <w:r>
        <w:instrText>HYPERLINK \l "fn24" \h</w:instrText>
      </w:r>
      <w:r>
        <w:fldChar w:fldCharType="separate"/>
      </w:r>
      <w:r>
        <w:rPr>
          <w:rFonts w:ascii="inter" w:eastAsia="inter" w:hAnsi="inter" w:cs="inter"/>
          <w:u w:val="single"/>
          <w:vertAlign w:val="superscript"/>
        </w:rPr>
        <w:t>[24]</w:t>
      </w:r>
      <w:r>
        <w:fldChar w:fldCharType="end"/>
      </w:r>
      <w:bookmarkStart w:id="357" w:name="fnref18_13"/>
      <w:bookmarkEnd w:id="357"/>
      <w:r>
        <w:fldChar w:fldCharType="begin"/>
      </w:r>
      <w:r>
        <w:instrText>HYPERLINK \l "fn18" \h</w:instrText>
      </w:r>
      <w:r>
        <w:fldChar w:fldCharType="separate"/>
      </w:r>
      <w:r>
        <w:rPr>
          <w:rFonts w:ascii="inter" w:eastAsia="inter" w:hAnsi="inter" w:cs="inter"/>
          <w:u w:val="single"/>
          <w:vertAlign w:val="superscript"/>
        </w:rPr>
        <w:t>[18]</w:t>
      </w:r>
      <w:r>
        <w:fldChar w:fldCharType="end"/>
      </w:r>
      <w:bookmarkStart w:id="358" w:name="fnref32_15"/>
      <w:bookmarkEnd w:id="358"/>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359" w:name="fnref38_10"/>
      <w:bookmarkEnd w:id="359"/>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360" w:name="fnref22_27"/>
      <w:bookmarkEnd w:id="360"/>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13E4113A" w14:textId="77777777" w:rsidR="00CB47B0" w:rsidRDefault="00000000">
      <w:pPr>
        <w:spacing w:after="210" w:line="360" w:lineRule="auto"/>
      </w:pPr>
      <w:r>
        <w:rPr>
          <w:rFonts w:ascii="inter" w:eastAsia="inter" w:hAnsi="inter" w:cs="inter"/>
          <w:b/>
          <w:color w:val="000000"/>
        </w:rPr>
        <w:t>Government and Trade Organization Engagement</w:t>
      </w:r>
      <w:r>
        <w:rPr>
          <w:rFonts w:ascii="inter" w:eastAsia="inter" w:hAnsi="inter" w:cs="inter"/>
          <w:color w:val="000000"/>
        </w:rPr>
        <w:t xml:space="preserve"> accelerates market entry through official channels and support programs. UK Department for Business and Trade support for Vietnam market entry, including trade missions, market intelligence, and bilateral relationship leveraging, provides resources that individual companies cannot replicate. Scottish Enterprise and Scottish Development International programs supporting internationalization, potentially including Vietnam-specific initiatives, offer additional support mechanisms. Engagement with Vietnamese government agencies including Ministry of Industry and Trade, Ministry of Natural Resources and Environment, and provincial authorities in key project locations (Binh Thuan, Hai Phong, Ba Ria-Vung Tau) builds relationships facilitating project access.</w:t>
      </w:r>
      <w:bookmarkStart w:id="361" w:name="fnref28_5"/>
      <w:bookmarkEnd w:id="361"/>
      <w:r>
        <w:fldChar w:fldCharType="begin"/>
      </w:r>
      <w:r>
        <w:instrText>HYPERLINK \l "fn28" \h</w:instrText>
      </w:r>
      <w:r>
        <w:fldChar w:fldCharType="separate"/>
      </w:r>
      <w:r>
        <w:rPr>
          <w:rFonts w:ascii="inter" w:eastAsia="inter" w:hAnsi="inter" w:cs="inter"/>
          <w:u w:val="single"/>
          <w:vertAlign w:val="superscript"/>
        </w:rPr>
        <w:t>[28]</w:t>
      </w:r>
      <w:r>
        <w:fldChar w:fldCharType="end"/>
      </w:r>
      <w:bookmarkStart w:id="362" w:name="fnref42_6"/>
      <w:bookmarkEnd w:id="362"/>
      <w:r>
        <w:fldChar w:fldCharType="begin"/>
      </w:r>
      <w:r>
        <w:instrText>HYPERLINK \l "fn42" \h</w:instrText>
      </w:r>
      <w:r>
        <w:fldChar w:fldCharType="separate"/>
      </w:r>
      <w:r>
        <w:rPr>
          <w:rFonts w:ascii="inter" w:eastAsia="inter" w:hAnsi="inter" w:cs="inter"/>
          <w:u w:val="single"/>
          <w:vertAlign w:val="superscript"/>
        </w:rPr>
        <w:t>[42]</w:t>
      </w:r>
      <w:r>
        <w:fldChar w:fldCharType="end"/>
      </w:r>
      <w:bookmarkStart w:id="363" w:name="fnref43_4"/>
      <w:bookmarkEnd w:id="363"/>
      <w:r>
        <w:fldChar w:fldCharType="begin"/>
      </w:r>
      <w:r>
        <w:instrText>HYPERLINK \l "fn43" \h</w:instrText>
      </w:r>
      <w:r>
        <w:fldChar w:fldCharType="separate"/>
      </w:r>
      <w:r>
        <w:rPr>
          <w:rFonts w:ascii="inter" w:eastAsia="inter" w:hAnsi="inter" w:cs="inter"/>
          <w:u w:val="single"/>
          <w:vertAlign w:val="superscript"/>
        </w:rPr>
        <w:t>[43]</w:t>
      </w:r>
      <w:r>
        <w:fldChar w:fldCharType="end"/>
      </w:r>
      <w:bookmarkStart w:id="364" w:name="fnref7_4"/>
      <w:bookmarkEnd w:id="364"/>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365" w:name="fnref32_16"/>
      <w:bookmarkEnd w:id="365"/>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366" w:name="fnref31_12"/>
      <w:bookmarkEnd w:id="366"/>
      <w:r>
        <w:fldChar w:fldCharType="begin"/>
      </w:r>
      <w:r>
        <w:instrText>HYPERLINK \l "fn31" \h</w:instrText>
      </w:r>
      <w:r>
        <w:fldChar w:fldCharType="separate"/>
      </w:r>
      <w:r>
        <w:rPr>
          <w:rFonts w:ascii="inter" w:eastAsia="inter" w:hAnsi="inter" w:cs="inter"/>
          <w:u w:val="single"/>
          <w:vertAlign w:val="superscript"/>
        </w:rPr>
        <w:t>[31]</w:t>
      </w:r>
      <w:r>
        <w:fldChar w:fldCharType="end"/>
      </w:r>
    </w:p>
    <w:p w14:paraId="2F75A1BB" w14:textId="77777777" w:rsidR="00CB47B0" w:rsidRDefault="00000000">
      <w:pPr>
        <w:spacing w:after="210" w:line="360" w:lineRule="auto"/>
      </w:pPr>
      <w:r>
        <w:rPr>
          <w:rFonts w:ascii="inter" w:eastAsia="inter" w:hAnsi="inter" w:cs="inter"/>
          <w:b/>
          <w:color w:val="000000"/>
        </w:rPr>
        <w:t>Knowledge Sharing and Capability Building</w:t>
      </w:r>
      <w:r>
        <w:rPr>
          <w:rFonts w:ascii="inter" w:eastAsia="inter" w:hAnsi="inter" w:cs="inter"/>
          <w:color w:val="000000"/>
        </w:rPr>
        <w:t xml:space="preserve"> differentiate North East Scotland companies as partners rather than merely suppliers. Hosting Vietnamese technical delegations to Scottish facilities, including offshore wind sites, decommissioning facilities, and innovation centers like FLOWIC, showcases capabilities while building relationships. Offering training programs for Vietnamese engineers and technicians, potentially in partnership with Robert Gordon University or University of Aberdeen, addresses skill gaps while establishing Scottish expertise credentials. Publishing technical papers and case studies on North Sea experiences applicable to Vietnamese challenges—floating wind in deep water, offshore operations in harsh environments, decommissioning cost optimization—establishes thought leadership supporting business development.</w:t>
      </w:r>
      <w:bookmarkStart w:id="367" w:name="fnref21_12"/>
      <w:bookmarkEnd w:id="367"/>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368" w:name="fnref32_17"/>
      <w:bookmarkEnd w:id="368"/>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369" w:name="fnref38_11"/>
      <w:bookmarkEnd w:id="369"/>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370" w:name="fnref33_16"/>
      <w:bookmarkEnd w:id="370"/>
      <w:r>
        <w:fldChar w:fldCharType="begin"/>
      </w:r>
      <w:r>
        <w:instrText>HYPERLINK \l "fn33" \h</w:instrText>
      </w:r>
      <w:r>
        <w:fldChar w:fldCharType="separate"/>
      </w:r>
      <w:r>
        <w:rPr>
          <w:rFonts w:ascii="inter" w:eastAsia="inter" w:hAnsi="inter" w:cs="inter"/>
          <w:u w:val="single"/>
          <w:vertAlign w:val="superscript"/>
        </w:rPr>
        <w:t>[33]</w:t>
      </w:r>
      <w:r>
        <w:fldChar w:fldCharType="end"/>
      </w:r>
      <w:bookmarkStart w:id="371" w:name="fnref31_13"/>
      <w:bookmarkEnd w:id="371"/>
      <w:r>
        <w:fldChar w:fldCharType="begin"/>
      </w:r>
      <w:r>
        <w:instrText>HYPERLINK \l "fn31" \h</w:instrText>
      </w:r>
      <w:r>
        <w:fldChar w:fldCharType="separate"/>
      </w:r>
      <w:r>
        <w:rPr>
          <w:rFonts w:ascii="inter" w:eastAsia="inter" w:hAnsi="inter" w:cs="inter"/>
          <w:u w:val="single"/>
          <w:vertAlign w:val="superscript"/>
        </w:rPr>
        <w:t>[31]</w:t>
      </w:r>
      <w:r>
        <w:fldChar w:fldCharType="end"/>
      </w:r>
      <w:bookmarkStart w:id="372" w:name="fnref22_28"/>
      <w:bookmarkEnd w:id="372"/>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4ECA5D99" w14:textId="77777777" w:rsidR="00CB47B0" w:rsidRDefault="00000000">
      <w:pPr>
        <w:spacing w:after="210" w:line="360" w:lineRule="auto"/>
      </w:pPr>
      <w:r>
        <w:rPr>
          <w:rFonts w:ascii="inter" w:eastAsia="inter" w:hAnsi="inter" w:cs="inter"/>
          <w:b/>
          <w:color w:val="000000"/>
        </w:rPr>
        <w:t>Consortium Approaches</w:t>
      </w:r>
      <w:r>
        <w:rPr>
          <w:rFonts w:ascii="inter" w:eastAsia="inter" w:hAnsi="inter" w:cs="inter"/>
          <w:color w:val="000000"/>
        </w:rPr>
        <w:t xml:space="preserve"> enable smaller SMEs to participate in opportunities requiring capabilities beyond individual company scope. North East Scotland companies should consider forming consortia combining complementary capabilities—engineering design, fabrication oversight, installation support, O&amp;M services—to offer integrated solutions attractive to Vietnamese developers. Industry associations like Aberdeen &amp; Grampian Chamber of Commerce or Energy Industries Council can facilitate consortium formation, due diligence, and joint marketing efforts. Consortia can share market entry costs including trade mission participation, local office establishment, and regulatory navigation while presenting unified Scottish capabilities.</w:t>
      </w:r>
      <w:bookmarkStart w:id="373" w:name="fnref20_7"/>
      <w:bookmarkEnd w:id="373"/>
      <w:r>
        <w:fldChar w:fldCharType="begin"/>
      </w:r>
      <w:r>
        <w:instrText>HYPERLINK \l "fn20" \h</w:instrText>
      </w:r>
      <w:r>
        <w:fldChar w:fldCharType="separate"/>
      </w:r>
      <w:r>
        <w:rPr>
          <w:rFonts w:ascii="inter" w:eastAsia="inter" w:hAnsi="inter" w:cs="inter"/>
          <w:u w:val="single"/>
          <w:vertAlign w:val="superscript"/>
        </w:rPr>
        <w:t>[20]</w:t>
      </w:r>
      <w:r>
        <w:fldChar w:fldCharType="end"/>
      </w:r>
      <w:bookmarkStart w:id="374" w:name="fnref38_12"/>
      <w:bookmarkEnd w:id="374"/>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375" w:name="fnref21_13"/>
      <w:bookmarkEnd w:id="375"/>
      <w:r>
        <w:fldChar w:fldCharType="begin"/>
      </w:r>
      <w:r>
        <w:instrText>HYPERLINK \l "fn21" \h</w:instrText>
      </w:r>
      <w:r>
        <w:fldChar w:fldCharType="separate"/>
      </w:r>
      <w:r>
        <w:rPr>
          <w:rFonts w:ascii="inter" w:eastAsia="inter" w:hAnsi="inter" w:cs="inter"/>
          <w:u w:val="single"/>
          <w:vertAlign w:val="superscript"/>
        </w:rPr>
        <w:t>[21]</w:t>
      </w:r>
      <w:r>
        <w:fldChar w:fldCharType="end"/>
      </w:r>
      <w:bookmarkStart w:id="376" w:name="fnref22_29"/>
      <w:bookmarkEnd w:id="376"/>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4475882E" w14:textId="77777777" w:rsidR="00CB47B0" w:rsidRDefault="00000000" w:rsidP="00A460CE">
      <w:pPr>
        <w:pStyle w:val="Heading1"/>
      </w:pPr>
      <w:bookmarkStart w:id="377" w:name="risk_mitigation_recommendations"/>
      <w:r>
        <w:rPr>
          <w:rFonts w:eastAsia="inter"/>
        </w:rPr>
        <w:t>Risk Mitigation Recommendations</w:t>
      </w:r>
      <w:bookmarkEnd w:id="377"/>
    </w:p>
    <w:p w14:paraId="6BF61F21" w14:textId="77777777" w:rsidR="00CB47B0" w:rsidRDefault="00000000">
      <w:pPr>
        <w:spacing w:after="210" w:line="360" w:lineRule="auto"/>
      </w:pPr>
      <w:r>
        <w:rPr>
          <w:rFonts w:ascii="inter" w:eastAsia="inter" w:hAnsi="inter" w:cs="inter"/>
          <w:b/>
          <w:color w:val="000000"/>
        </w:rPr>
        <w:t>Contractual Protections</w:t>
      </w:r>
      <w:r>
        <w:rPr>
          <w:rFonts w:ascii="inter" w:eastAsia="inter" w:hAnsi="inter" w:cs="inter"/>
          <w:color w:val="000000"/>
        </w:rPr>
        <w:t xml:space="preserve"> must address demonstrated Vietnamese policy risks including retroactive pricing changes and regulatory uncertainty. Power purchase agreements or service contracts should include change-in-law provisions protecting against retroactive regulatory changes, clear dispute resolution mechanisms including international arbitration under bilateral investment treaties, and price adjustment mechanisms addressing currency fluctuations and inflation. Payment security mechanisms such as letters of credit, parent company guarantees for Vietnamese counterparties, or offshore escrow accounts mitigate payment risk, particularly given EVN's financial pressures and retroactive pricing precedents.</w:t>
      </w:r>
      <w:bookmarkStart w:id="378" w:name="fnref7_5"/>
      <w:bookmarkEnd w:id="378"/>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379" w:name="fnref16_4"/>
      <w:bookmarkEnd w:id="379"/>
      <w:r>
        <w:fldChar w:fldCharType="begin"/>
      </w:r>
      <w:r>
        <w:instrText>HYPERLINK \l "fn16" \h</w:instrText>
      </w:r>
      <w:r>
        <w:fldChar w:fldCharType="separate"/>
      </w:r>
      <w:r>
        <w:rPr>
          <w:rFonts w:ascii="inter" w:eastAsia="inter" w:hAnsi="inter" w:cs="inter"/>
          <w:u w:val="single"/>
          <w:vertAlign w:val="superscript"/>
        </w:rPr>
        <w:t>[16]</w:t>
      </w:r>
      <w:r>
        <w:fldChar w:fldCharType="end"/>
      </w:r>
      <w:bookmarkStart w:id="380" w:name="fnref8_6"/>
      <w:bookmarkEnd w:id="380"/>
      <w:r>
        <w:fldChar w:fldCharType="begin"/>
      </w:r>
      <w:r>
        <w:instrText>HYPERLINK \l "fn8" \h</w:instrText>
      </w:r>
      <w:r>
        <w:fldChar w:fldCharType="separate"/>
      </w:r>
      <w:r>
        <w:rPr>
          <w:rFonts w:ascii="inter" w:eastAsia="inter" w:hAnsi="inter" w:cs="inter"/>
          <w:u w:val="single"/>
          <w:vertAlign w:val="superscript"/>
        </w:rPr>
        <w:t>[8]</w:t>
      </w:r>
      <w:r>
        <w:fldChar w:fldCharType="end"/>
      </w:r>
    </w:p>
    <w:p w14:paraId="5C152DB2" w14:textId="77777777" w:rsidR="00CB47B0" w:rsidRDefault="00000000">
      <w:pPr>
        <w:spacing w:after="210" w:line="360" w:lineRule="auto"/>
      </w:pPr>
      <w:r>
        <w:rPr>
          <w:rFonts w:ascii="inter" w:eastAsia="inter" w:hAnsi="inter" w:cs="inter"/>
          <w:b/>
          <w:color w:val="000000"/>
        </w:rPr>
        <w:t>Political Risk Insurance</w:t>
      </w:r>
      <w:r>
        <w:rPr>
          <w:rFonts w:ascii="inter" w:eastAsia="inter" w:hAnsi="inter" w:cs="inter"/>
          <w:color w:val="000000"/>
        </w:rPr>
        <w:t xml:space="preserve"> through export credit agencies or commercial insurers provides additional protection layer. UK Export Finance support for Vietnamese renewable energy projects, potentially including political risk coverage, buyer credit facilities, and export insurance should be thoroughly evaluated. Multilateral Investment Guarantee Agency coverage for investments in Vietnam offers protection against expropriation, currency inconvertibility, war and civil disturbance, and breach of contract. While adding cost, political risk insurance provides essential protection given Vietnam's demonstrated policy volatility.</w:t>
      </w:r>
      <w:bookmarkStart w:id="381" w:name="fnref5_7"/>
      <w:bookmarkEnd w:id="381"/>
      <w:r>
        <w:fldChar w:fldCharType="begin"/>
      </w:r>
      <w:r>
        <w:instrText>HYPERLINK \l "fn5" \h</w:instrText>
      </w:r>
      <w:r>
        <w:fldChar w:fldCharType="separate"/>
      </w:r>
      <w:r>
        <w:rPr>
          <w:rFonts w:ascii="inter" w:eastAsia="inter" w:hAnsi="inter" w:cs="inter"/>
          <w:u w:val="single"/>
          <w:vertAlign w:val="superscript"/>
        </w:rPr>
        <w:t>[5]</w:t>
      </w:r>
      <w:r>
        <w:fldChar w:fldCharType="end"/>
      </w:r>
      <w:bookmarkStart w:id="382" w:name="fnref8_7"/>
      <w:bookmarkEnd w:id="382"/>
      <w:r>
        <w:fldChar w:fldCharType="begin"/>
      </w:r>
      <w:r>
        <w:instrText>HYPERLINK \l "fn8" \h</w:instrText>
      </w:r>
      <w:r>
        <w:fldChar w:fldCharType="separate"/>
      </w:r>
      <w:r>
        <w:rPr>
          <w:rFonts w:ascii="inter" w:eastAsia="inter" w:hAnsi="inter" w:cs="inter"/>
          <w:u w:val="single"/>
          <w:vertAlign w:val="superscript"/>
        </w:rPr>
        <w:t>[8]</w:t>
      </w:r>
      <w:r>
        <w:fldChar w:fldCharType="end"/>
      </w:r>
      <w:bookmarkStart w:id="383" w:name="fnref7_6"/>
      <w:bookmarkEnd w:id="383"/>
      <w:r>
        <w:fldChar w:fldCharType="begin"/>
      </w:r>
      <w:r>
        <w:instrText>HYPERLINK \l "fn7" \h</w:instrText>
      </w:r>
      <w:r>
        <w:fldChar w:fldCharType="separate"/>
      </w:r>
      <w:r>
        <w:rPr>
          <w:rFonts w:ascii="inter" w:eastAsia="inter" w:hAnsi="inter" w:cs="inter"/>
          <w:u w:val="single"/>
          <w:vertAlign w:val="superscript"/>
        </w:rPr>
        <w:t>[7]</w:t>
      </w:r>
      <w:r>
        <w:fldChar w:fldCharType="end"/>
      </w:r>
      <w:bookmarkStart w:id="384" w:name="fnref20_8"/>
      <w:bookmarkEnd w:id="384"/>
      <w:r>
        <w:fldChar w:fldCharType="begin"/>
      </w:r>
      <w:r>
        <w:instrText>HYPERLINK \l "fn20" \h</w:instrText>
      </w:r>
      <w:r>
        <w:fldChar w:fldCharType="separate"/>
      </w:r>
      <w:r>
        <w:rPr>
          <w:rFonts w:ascii="inter" w:eastAsia="inter" w:hAnsi="inter" w:cs="inter"/>
          <w:u w:val="single"/>
          <w:vertAlign w:val="superscript"/>
        </w:rPr>
        <w:t>[20]</w:t>
      </w:r>
      <w:r>
        <w:fldChar w:fldCharType="end"/>
      </w:r>
    </w:p>
    <w:p w14:paraId="3386F77B" w14:textId="77777777" w:rsidR="00CB47B0" w:rsidRDefault="00000000">
      <w:pPr>
        <w:spacing w:after="210" w:line="360" w:lineRule="auto"/>
      </w:pPr>
      <w:r>
        <w:rPr>
          <w:rFonts w:ascii="inter" w:eastAsia="inter" w:hAnsi="inter" w:cs="inter"/>
          <w:b/>
          <w:color w:val="000000"/>
        </w:rPr>
        <w:t>Phased Financial Commitment</w:t>
      </w:r>
      <w:r>
        <w:rPr>
          <w:rFonts w:ascii="inter" w:eastAsia="inter" w:hAnsi="inter" w:cs="inter"/>
          <w:color w:val="000000"/>
        </w:rPr>
        <w:t xml:space="preserve"> aligns investment with project and market maturation, limiting exposure to early-stage uncertainties. Initial engagements through service contracts requiring minimal capital commitment, progression to equipment supply or fabrication oversight with staged payments tied to milestones, and eventual investment in local facilities or joint ventures only after sustained project pipeline emerges represent prudent staging. This approach contrasts with large upfront investments in manufacturing facilities or local infrastructure that some competitors might pursue but that create substantial risk in uncertain regulatory environments.</w:t>
      </w:r>
      <w:bookmarkStart w:id="385" w:name="fnref17_8"/>
      <w:bookmarkEnd w:id="385"/>
      <w:r>
        <w:fldChar w:fldCharType="begin"/>
      </w:r>
      <w:r>
        <w:instrText>HYPERLINK \l "fn17" \h</w:instrText>
      </w:r>
      <w:r>
        <w:fldChar w:fldCharType="separate"/>
      </w:r>
      <w:r>
        <w:rPr>
          <w:rFonts w:ascii="inter" w:eastAsia="inter" w:hAnsi="inter" w:cs="inter"/>
          <w:u w:val="single"/>
          <w:vertAlign w:val="superscript"/>
        </w:rPr>
        <w:t>[17]</w:t>
      </w:r>
      <w:r>
        <w:fldChar w:fldCharType="end"/>
      </w:r>
      <w:bookmarkStart w:id="386" w:name="fnref18_14"/>
      <w:bookmarkEnd w:id="386"/>
      <w:r>
        <w:fldChar w:fldCharType="begin"/>
      </w:r>
      <w:r>
        <w:instrText>HYPERLINK \l "fn18" \h</w:instrText>
      </w:r>
      <w:r>
        <w:fldChar w:fldCharType="separate"/>
      </w:r>
      <w:r>
        <w:rPr>
          <w:rFonts w:ascii="inter" w:eastAsia="inter" w:hAnsi="inter" w:cs="inter"/>
          <w:u w:val="single"/>
          <w:vertAlign w:val="superscript"/>
        </w:rPr>
        <w:t>[18]</w:t>
      </w:r>
      <w:r>
        <w:fldChar w:fldCharType="end"/>
      </w:r>
      <w:bookmarkStart w:id="387" w:name="fnref20_9"/>
      <w:bookmarkEnd w:id="387"/>
      <w:r>
        <w:fldChar w:fldCharType="begin"/>
      </w:r>
      <w:r>
        <w:instrText>HYPERLINK \l "fn20" \h</w:instrText>
      </w:r>
      <w:r>
        <w:fldChar w:fldCharType="separate"/>
      </w:r>
      <w:r>
        <w:rPr>
          <w:rFonts w:ascii="inter" w:eastAsia="inter" w:hAnsi="inter" w:cs="inter"/>
          <w:u w:val="single"/>
          <w:vertAlign w:val="superscript"/>
        </w:rPr>
        <w:t>[20]</w:t>
      </w:r>
      <w:r>
        <w:fldChar w:fldCharType="end"/>
      </w:r>
      <w:bookmarkStart w:id="388" w:name="fnref22_30"/>
      <w:bookmarkEnd w:id="388"/>
      <w:r>
        <w:fldChar w:fldCharType="begin"/>
      </w:r>
      <w:r>
        <w:instrText>HYPERLINK \l "fn22" \h</w:instrText>
      </w:r>
      <w:r>
        <w:fldChar w:fldCharType="separate"/>
      </w:r>
      <w:r>
        <w:rPr>
          <w:rFonts w:ascii="inter" w:eastAsia="inter" w:hAnsi="inter" w:cs="inter"/>
          <w:u w:val="single"/>
          <w:vertAlign w:val="superscript"/>
        </w:rPr>
        <w:t>[22]</w:t>
      </w:r>
      <w:r>
        <w:fldChar w:fldCharType="end"/>
      </w:r>
    </w:p>
    <w:p w14:paraId="5BD10026" w14:textId="77777777" w:rsidR="00CB47B0" w:rsidRDefault="00000000">
      <w:pPr>
        <w:spacing w:after="210" w:line="360" w:lineRule="auto"/>
      </w:pPr>
      <w:r>
        <w:rPr>
          <w:rFonts w:ascii="inter" w:eastAsia="inter" w:hAnsi="inter" w:cs="inter"/>
          <w:b/>
          <w:color w:val="000000"/>
        </w:rPr>
        <w:t>Diversification Across Sectors and Projects</w:t>
      </w:r>
      <w:r>
        <w:rPr>
          <w:rFonts w:ascii="inter" w:eastAsia="inter" w:hAnsi="inter" w:cs="inter"/>
          <w:color w:val="000000"/>
        </w:rPr>
        <w:t xml:space="preserve"> reduces concentration risk inherent in focusing on single projects or technologies. Pursuing opportunities across offshore wind, CCUS, green hydrogen, and decommissioning creates portfolio diversification, while engaging multiple projects within sectors (multiple offshore wind farms, several decommissioning projects) further spreads risk. Geographic diversification across Vietnamese provinces and extending to neighboring Southeast Asian markets provides additional resilience against local or national policy changes.</w:t>
      </w:r>
      <w:bookmarkStart w:id="389" w:name="fnref40_3"/>
      <w:bookmarkEnd w:id="389"/>
      <w:r>
        <w:fldChar w:fldCharType="begin"/>
      </w:r>
      <w:r>
        <w:instrText>HYPERLINK \l "fn40" \h</w:instrText>
      </w:r>
      <w:r>
        <w:fldChar w:fldCharType="separate"/>
      </w:r>
      <w:r>
        <w:rPr>
          <w:rFonts w:ascii="inter" w:eastAsia="inter" w:hAnsi="inter" w:cs="inter"/>
          <w:u w:val="single"/>
          <w:vertAlign w:val="superscript"/>
        </w:rPr>
        <w:t>[40]</w:t>
      </w:r>
      <w:r>
        <w:fldChar w:fldCharType="end"/>
      </w:r>
      <w:bookmarkStart w:id="390" w:name="fnref43_5"/>
      <w:bookmarkEnd w:id="390"/>
      <w:r>
        <w:fldChar w:fldCharType="begin"/>
      </w:r>
      <w:r>
        <w:instrText>HYPERLINK \l "fn43" \h</w:instrText>
      </w:r>
      <w:r>
        <w:fldChar w:fldCharType="separate"/>
      </w:r>
      <w:r>
        <w:rPr>
          <w:rFonts w:ascii="inter" w:eastAsia="inter" w:hAnsi="inter" w:cs="inter"/>
          <w:u w:val="single"/>
          <w:vertAlign w:val="superscript"/>
        </w:rPr>
        <w:t>[43]</w:t>
      </w:r>
      <w:r>
        <w:fldChar w:fldCharType="end"/>
      </w:r>
      <w:bookmarkStart w:id="391" w:name="fnref35_5"/>
      <w:bookmarkEnd w:id="391"/>
      <w:r>
        <w:fldChar w:fldCharType="begin"/>
      </w:r>
      <w:r>
        <w:instrText>HYPERLINK \l "fn35" \h</w:instrText>
      </w:r>
      <w:r>
        <w:fldChar w:fldCharType="separate"/>
      </w:r>
      <w:r>
        <w:rPr>
          <w:rFonts w:ascii="inter" w:eastAsia="inter" w:hAnsi="inter" w:cs="inter"/>
          <w:u w:val="single"/>
          <w:vertAlign w:val="superscript"/>
        </w:rPr>
        <w:t>[35]</w:t>
      </w:r>
      <w:r>
        <w:fldChar w:fldCharType="end"/>
      </w:r>
      <w:bookmarkStart w:id="392" w:name="fnref50_3"/>
      <w:bookmarkEnd w:id="392"/>
      <w:r>
        <w:fldChar w:fldCharType="begin"/>
      </w:r>
      <w:r>
        <w:instrText>HYPERLINK \l "fn50" \h</w:instrText>
      </w:r>
      <w:r>
        <w:fldChar w:fldCharType="separate"/>
      </w:r>
      <w:r>
        <w:rPr>
          <w:rFonts w:ascii="inter" w:eastAsia="inter" w:hAnsi="inter" w:cs="inter"/>
          <w:u w:val="single"/>
          <w:vertAlign w:val="superscript"/>
        </w:rPr>
        <w:t>[50]</w:t>
      </w:r>
      <w:r>
        <w:fldChar w:fldCharType="end"/>
      </w:r>
      <w:bookmarkStart w:id="393" w:name="fnref44_6"/>
      <w:bookmarkEnd w:id="393"/>
      <w:r>
        <w:fldChar w:fldCharType="begin"/>
      </w:r>
      <w:r>
        <w:instrText>HYPERLINK \l "fn44" \h</w:instrText>
      </w:r>
      <w:r>
        <w:fldChar w:fldCharType="separate"/>
      </w:r>
      <w:r>
        <w:rPr>
          <w:rFonts w:ascii="inter" w:eastAsia="inter" w:hAnsi="inter" w:cs="inter"/>
          <w:u w:val="single"/>
          <w:vertAlign w:val="superscript"/>
        </w:rPr>
        <w:t>[44]</w:t>
      </w:r>
      <w:r>
        <w:fldChar w:fldCharType="end"/>
      </w:r>
      <w:bookmarkStart w:id="394" w:name="fnref13_5"/>
      <w:bookmarkEnd w:id="394"/>
      <w:r>
        <w:fldChar w:fldCharType="begin"/>
      </w:r>
      <w:r>
        <w:instrText>HYPERLINK \l "fn13" \h</w:instrText>
      </w:r>
      <w:r>
        <w:fldChar w:fldCharType="separate"/>
      </w:r>
      <w:r>
        <w:rPr>
          <w:rFonts w:ascii="inter" w:eastAsia="inter" w:hAnsi="inter" w:cs="inter"/>
          <w:u w:val="single"/>
          <w:vertAlign w:val="superscript"/>
        </w:rPr>
        <w:t>[13]</w:t>
      </w:r>
      <w:r>
        <w:fldChar w:fldCharType="end"/>
      </w:r>
      <w:bookmarkStart w:id="395" w:name="fnref20_10"/>
      <w:bookmarkEnd w:id="395"/>
      <w:r>
        <w:fldChar w:fldCharType="begin"/>
      </w:r>
      <w:r>
        <w:instrText>HYPERLINK \l "fn20" \h</w:instrText>
      </w:r>
      <w:r>
        <w:fldChar w:fldCharType="separate"/>
      </w:r>
      <w:r>
        <w:rPr>
          <w:rFonts w:ascii="inter" w:eastAsia="inter" w:hAnsi="inter" w:cs="inter"/>
          <w:u w:val="single"/>
          <w:vertAlign w:val="superscript"/>
        </w:rPr>
        <w:t>[20]</w:t>
      </w:r>
      <w:r>
        <w:fldChar w:fldCharType="end"/>
      </w:r>
    </w:p>
    <w:p w14:paraId="7BFFA32B" w14:textId="77777777" w:rsidR="00CB47B0" w:rsidRDefault="00000000" w:rsidP="00A460CE">
      <w:pPr>
        <w:pStyle w:val="Heading1"/>
      </w:pPr>
      <w:bookmarkStart w:id="396" w:name="long_term_strategic_positioning"/>
      <w:r>
        <w:rPr>
          <w:rFonts w:eastAsia="inter"/>
        </w:rPr>
        <w:t>Long-Term Strategic Positioning</w:t>
      </w:r>
      <w:bookmarkEnd w:id="396"/>
    </w:p>
    <w:p w14:paraId="1923A202" w14:textId="77777777" w:rsidR="00CB47B0" w:rsidRDefault="00000000">
      <w:pPr>
        <w:spacing w:after="210" w:line="360" w:lineRule="auto"/>
      </w:pPr>
      <w:r>
        <w:rPr>
          <w:rFonts w:ascii="inter" w:eastAsia="inter" w:hAnsi="inter" w:cs="inter"/>
          <w:b/>
          <w:color w:val="000000"/>
        </w:rPr>
        <w:t>Regional Hub Development</w:t>
      </w:r>
      <w:r>
        <w:rPr>
          <w:rFonts w:ascii="inter" w:eastAsia="inter" w:hAnsi="inter" w:cs="inter"/>
          <w:color w:val="000000"/>
        </w:rPr>
        <w:t xml:space="preserve"> leveraging Vietnamese presence to serve broader Southeast Asian markets maximizes return on market entry investments. Capabilities developed for Vietnamese offshore wind apply directly to Indonesian, Philippine, Thai, and Malaysian markets pursuing similar development. Decommissioning expertise serving Vietnam's aging infrastructure extends to Thailand's Gulf of Thailand fields, Malaysia's Sarawak basin, and Indonesia's mature producing areas. Establishing Singapore or Vietnam-based regional offices serving multiple markets optimizes costs while demonstrating long-term commitment to the region.</w:t>
      </w:r>
      <w:bookmarkStart w:id="397" w:name="fnref36_4"/>
      <w:bookmarkEnd w:id="397"/>
      <w:r>
        <w:fldChar w:fldCharType="begin"/>
      </w:r>
      <w:r>
        <w:instrText>HYPERLINK \l "fn36" \h</w:instrText>
      </w:r>
      <w:r>
        <w:fldChar w:fldCharType="separate"/>
      </w:r>
      <w:r>
        <w:rPr>
          <w:rFonts w:ascii="inter" w:eastAsia="inter" w:hAnsi="inter" w:cs="inter"/>
          <w:u w:val="single"/>
          <w:vertAlign w:val="superscript"/>
        </w:rPr>
        <w:t>[36]</w:t>
      </w:r>
      <w:r>
        <w:fldChar w:fldCharType="end"/>
      </w:r>
      <w:bookmarkStart w:id="398" w:name="fnref13_6"/>
      <w:bookmarkEnd w:id="398"/>
      <w:r>
        <w:fldChar w:fldCharType="begin"/>
      </w:r>
      <w:r>
        <w:instrText>HYPERLINK \l "fn13" \h</w:instrText>
      </w:r>
      <w:r>
        <w:fldChar w:fldCharType="separate"/>
      </w:r>
      <w:r>
        <w:rPr>
          <w:rFonts w:ascii="inter" w:eastAsia="inter" w:hAnsi="inter" w:cs="inter"/>
          <w:u w:val="single"/>
          <w:vertAlign w:val="superscript"/>
        </w:rPr>
        <w:t>[13]</w:t>
      </w:r>
      <w:r>
        <w:fldChar w:fldCharType="end"/>
      </w:r>
      <w:bookmarkStart w:id="399" w:name="fnref34_7"/>
      <w:bookmarkEnd w:id="399"/>
      <w:r>
        <w:fldChar w:fldCharType="begin"/>
      </w:r>
      <w:r>
        <w:instrText>HYPERLINK \l "fn34" \h</w:instrText>
      </w:r>
      <w:r>
        <w:fldChar w:fldCharType="separate"/>
      </w:r>
      <w:r>
        <w:rPr>
          <w:rFonts w:ascii="inter" w:eastAsia="inter" w:hAnsi="inter" w:cs="inter"/>
          <w:u w:val="single"/>
          <w:vertAlign w:val="superscript"/>
        </w:rPr>
        <w:t>[34]</w:t>
      </w:r>
      <w:r>
        <w:fldChar w:fldCharType="end"/>
      </w:r>
      <w:bookmarkStart w:id="400" w:name="fnref38_13"/>
      <w:bookmarkEnd w:id="400"/>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401" w:name="fnref20_11"/>
      <w:bookmarkEnd w:id="401"/>
      <w:r>
        <w:fldChar w:fldCharType="begin"/>
      </w:r>
      <w:r>
        <w:instrText>HYPERLINK \l "fn20" \h</w:instrText>
      </w:r>
      <w:r>
        <w:fldChar w:fldCharType="separate"/>
      </w:r>
      <w:r>
        <w:rPr>
          <w:rFonts w:ascii="inter" w:eastAsia="inter" w:hAnsi="inter" w:cs="inter"/>
          <w:u w:val="single"/>
          <w:vertAlign w:val="superscript"/>
        </w:rPr>
        <w:t>[20]</w:t>
      </w:r>
      <w:r>
        <w:fldChar w:fldCharType="end"/>
      </w:r>
    </w:p>
    <w:p w14:paraId="070AE419" w14:textId="77777777" w:rsidR="00CB47B0" w:rsidRDefault="00000000">
      <w:pPr>
        <w:spacing w:after="210" w:line="360" w:lineRule="auto"/>
      </w:pPr>
      <w:r>
        <w:rPr>
          <w:rFonts w:ascii="inter" w:eastAsia="inter" w:hAnsi="inter" w:cs="inter"/>
          <w:b/>
          <w:color w:val="000000"/>
        </w:rPr>
        <w:t>Technology and Innovation Leadership</w:t>
      </w:r>
      <w:r>
        <w:rPr>
          <w:rFonts w:ascii="inter" w:eastAsia="inter" w:hAnsi="inter" w:cs="inter"/>
          <w:color w:val="000000"/>
        </w:rPr>
        <w:t xml:space="preserve"> positions North East Scotland companies as preferred partners as Vietnamese market matures. Continued investment in offshore renewable technology development, particularly floating wind, wave energy, and green hydrogen integration, maintains technological advantages as Vietnam progresses from fixed-bottom nearshore wind to floating deepwater developments. Digital solutions including remote operations, predictive maintenance, and optimization systems leverage Scottish strengths while addressing Vietnamese operational challenges across dispersed offshore assets. Demonstration of these technologies through pilot projects or partnerships with Vietnamese research institutions establishes innovation leadership supporting long-term market position.</w:t>
      </w:r>
      <w:bookmarkStart w:id="402" w:name="fnref6_1"/>
      <w:bookmarkEnd w:id="402"/>
      <w:r>
        <w:fldChar w:fldCharType="begin"/>
      </w:r>
      <w:r>
        <w:instrText>HYPERLINK \l "fn6" \h</w:instrText>
      </w:r>
      <w:r>
        <w:fldChar w:fldCharType="separate"/>
      </w:r>
      <w:r>
        <w:rPr>
          <w:rFonts w:ascii="inter" w:eastAsia="inter" w:hAnsi="inter" w:cs="inter"/>
          <w:u w:val="single"/>
          <w:vertAlign w:val="superscript"/>
        </w:rPr>
        <w:t>[6]</w:t>
      </w:r>
      <w:r>
        <w:fldChar w:fldCharType="end"/>
      </w:r>
      <w:bookmarkStart w:id="403" w:name="fnref39_3"/>
      <w:bookmarkEnd w:id="403"/>
      <w:r>
        <w:fldChar w:fldCharType="begin"/>
      </w:r>
      <w:r>
        <w:instrText>HYPERLINK \l "fn39" \h</w:instrText>
      </w:r>
      <w:r>
        <w:fldChar w:fldCharType="separate"/>
      </w:r>
      <w:r>
        <w:rPr>
          <w:rFonts w:ascii="inter" w:eastAsia="inter" w:hAnsi="inter" w:cs="inter"/>
          <w:u w:val="single"/>
          <w:vertAlign w:val="superscript"/>
        </w:rPr>
        <w:t>[39]</w:t>
      </w:r>
      <w:r>
        <w:fldChar w:fldCharType="end"/>
      </w:r>
      <w:bookmarkStart w:id="404" w:name="fnref32_18"/>
      <w:bookmarkEnd w:id="404"/>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405" w:name="fnref33_17"/>
      <w:bookmarkEnd w:id="405"/>
      <w:r>
        <w:fldChar w:fldCharType="begin"/>
      </w:r>
      <w:r>
        <w:instrText>HYPERLINK \l "fn33" \h</w:instrText>
      </w:r>
      <w:r>
        <w:fldChar w:fldCharType="separate"/>
      </w:r>
      <w:r>
        <w:rPr>
          <w:rFonts w:ascii="inter" w:eastAsia="inter" w:hAnsi="inter" w:cs="inter"/>
          <w:u w:val="single"/>
          <w:vertAlign w:val="superscript"/>
        </w:rPr>
        <w:t>[33]</w:t>
      </w:r>
      <w:r>
        <w:fldChar w:fldCharType="end"/>
      </w:r>
      <w:bookmarkStart w:id="406" w:name="fnref31_14"/>
      <w:bookmarkEnd w:id="406"/>
      <w:r>
        <w:fldChar w:fldCharType="begin"/>
      </w:r>
      <w:r>
        <w:instrText>HYPERLINK \l "fn31" \h</w:instrText>
      </w:r>
      <w:r>
        <w:fldChar w:fldCharType="separate"/>
      </w:r>
      <w:r>
        <w:rPr>
          <w:rFonts w:ascii="inter" w:eastAsia="inter" w:hAnsi="inter" w:cs="inter"/>
          <w:u w:val="single"/>
          <w:vertAlign w:val="superscript"/>
        </w:rPr>
        <w:t>[31]</w:t>
      </w:r>
      <w:r>
        <w:fldChar w:fldCharType="end"/>
      </w:r>
    </w:p>
    <w:p w14:paraId="47DD3D7E" w14:textId="77777777" w:rsidR="00CB47B0" w:rsidRDefault="00000000">
      <w:pPr>
        <w:spacing w:after="210" w:line="360" w:lineRule="auto"/>
      </w:pPr>
      <w:r>
        <w:rPr>
          <w:rFonts w:ascii="inter" w:eastAsia="inter" w:hAnsi="inter" w:cs="inter"/>
          <w:b/>
          <w:color w:val="000000"/>
        </w:rPr>
        <w:t>Workforce Development and Knowledge Transfer</w:t>
      </w:r>
      <w:r>
        <w:rPr>
          <w:rFonts w:ascii="inter" w:eastAsia="inter" w:hAnsi="inter" w:cs="inter"/>
          <w:color w:val="000000"/>
        </w:rPr>
        <w:t xml:space="preserve"> creates sustainable competitive advantages through human capital development. Establishing formal training programs with Vietnamese universities and technical institutions, offering apprenticeships and secondments bringing Vietnamese engineers to Scotland for practical training, and developing Vietnamese technical standards and best practices based on North Sea experience create lasting relationships and capabilities that support long-term business development. These investments differentiate Scottish companies as partners committed to Vietnamese capability building rather than extractive suppliers seeking short-term profits.</w:t>
      </w:r>
      <w:bookmarkStart w:id="407" w:name="fnref30_7"/>
      <w:bookmarkEnd w:id="407"/>
      <w:r>
        <w:fldChar w:fldCharType="begin"/>
      </w:r>
      <w:r>
        <w:instrText>HYPERLINK \l "fn30" \h</w:instrText>
      </w:r>
      <w:r>
        <w:fldChar w:fldCharType="separate"/>
      </w:r>
      <w:r>
        <w:rPr>
          <w:rFonts w:ascii="inter" w:eastAsia="inter" w:hAnsi="inter" w:cs="inter"/>
          <w:u w:val="single"/>
          <w:vertAlign w:val="superscript"/>
        </w:rPr>
        <w:t>[30]</w:t>
      </w:r>
      <w:r>
        <w:fldChar w:fldCharType="end"/>
      </w:r>
      <w:bookmarkStart w:id="408" w:name="fnref32_19"/>
      <w:bookmarkEnd w:id="408"/>
      <w:r>
        <w:fldChar w:fldCharType="begin"/>
      </w:r>
      <w:r>
        <w:instrText>HYPERLINK \l "fn32" \h</w:instrText>
      </w:r>
      <w:r>
        <w:fldChar w:fldCharType="separate"/>
      </w:r>
      <w:r>
        <w:rPr>
          <w:rFonts w:ascii="inter" w:eastAsia="inter" w:hAnsi="inter" w:cs="inter"/>
          <w:u w:val="single"/>
          <w:vertAlign w:val="superscript"/>
        </w:rPr>
        <w:t>[32]</w:t>
      </w:r>
      <w:r>
        <w:fldChar w:fldCharType="end"/>
      </w:r>
      <w:bookmarkStart w:id="409" w:name="fnref38_14"/>
      <w:bookmarkEnd w:id="409"/>
      <w:r>
        <w:fldChar w:fldCharType="begin"/>
      </w:r>
      <w:r>
        <w:instrText>HYPERLINK \l "fn38" \h</w:instrText>
      </w:r>
      <w:r>
        <w:fldChar w:fldCharType="separate"/>
      </w:r>
      <w:r>
        <w:rPr>
          <w:rFonts w:ascii="inter" w:eastAsia="inter" w:hAnsi="inter" w:cs="inter"/>
          <w:u w:val="single"/>
          <w:vertAlign w:val="superscript"/>
        </w:rPr>
        <w:t>[38]</w:t>
      </w:r>
      <w:r>
        <w:fldChar w:fldCharType="end"/>
      </w:r>
      <w:bookmarkStart w:id="410" w:name="fnref21_14"/>
      <w:bookmarkEnd w:id="410"/>
      <w:r>
        <w:fldChar w:fldCharType="begin"/>
      </w:r>
      <w:r>
        <w:instrText>HYPERLINK \l "fn21" \h</w:instrText>
      </w:r>
      <w:r>
        <w:fldChar w:fldCharType="separate"/>
      </w:r>
      <w:r>
        <w:rPr>
          <w:rFonts w:ascii="inter" w:eastAsia="inter" w:hAnsi="inter" w:cs="inter"/>
          <w:u w:val="single"/>
          <w:vertAlign w:val="superscript"/>
        </w:rPr>
        <w:t>[21]</w:t>
      </w:r>
      <w:r>
        <w:fldChar w:fldCharType="end"/>
      </w:r>
    </w:p>
    <w:p w14:paraId="0D8CDD46" w14:textId="77777777" w:rsidR="00CB47B0" w:rsidRDefault="00000000">
      <w:pPr>
        <w:spacing w:after="210" w:line="360" w:lineRule="auto"/>
      </w:pPr>
      <w:r>
        <w:rPr>
          <w:rFonts w:ascii="inter" w:eastAsia="inter" w:hAnsi="inter" w:cs="inter"/>
          <w:b/>
          <w:color w:val="000000"/>
        </w:rPr>
        <w:t>Policy Engagement and Market Shaping</w:t>
      </w:r>
      <w:r>
        <w:rPr>
          <w:rFonts w:ascii="inter" w:eastAsia="inter" w:hAnsi="inter" w:cs="inter"/>
          <w:color w:val="000000"/>
        </w:rPr>
        <w:t xml:space="preserve"> through active participation in Vietnamese energy sector policy development positions Scottish companies to influence regulations favoring their capabilities. Participation in working groups developing offshore wind regulatory frameworks, CCUS policies, and decommissioning standards ensures Scottish perspectives inform Vietnamese regulations. Engagement through bilateral UK-Vietnam energy dialogues, industry associations, and multilateral forums like the Global Wind Energy Council shapes policy environments while building relationships with Vietnamese decision-makers. This proactive policy engagement contrasts with reactive approaches merely adapting to established regulations, creating advantages for companies helping shape the market environment.</w:t>
      </w:r>
      <w:bookmarkStart w:id="411" w:name="fnref6_2"/>
      <w:bookmarkEnd w:id="411"/>
      <w:r>
        <w:fldChar w:fldCharType="begin"/>
      </w:r>
      <w:r>
        <w:instrText>HYPERLINK \l "fn6" \h</w:instrText>
      </w:r>
      <w:r>
        <w:fldChar w:fldCharType="separate"/>
      </w:r>
      <w:r>
        <w:rPr>
          <w:rFonts w:ascii="inter" w:eastAsia="inter" w:hAnsi="inter" w:cs="inter"/>
          <w:u w:val="single"/>
          <w:vertAlign w:val="superscript"/>
        </w:rPr>
        <w:t>[6]</w:t>
      </w:r>
      <w:r>
        <w:fldChar w:fldCharType="end"/>
      </w:r>
      <w:bookmarkStart w:id="412" w:name="fnref10_3"/>
      <w:bookmarkEnd w:id="412"/>
      <w:r>
        <w:fldChar w:fldCharType="begin"/>
      </w:r>
      <w:r>
        <w:instrText>HYPERLINK \l "fn10" \h</w:instrText>
      </w:r>
      <w:r>
        <w:fldChar w:fldCharType="separate"/>
      </w:r>
      <w:r>
        <w:rPr>
          <w:rFonts w:ascii="inter" w:eastAsia="inter" w:hAnsi="inter" w:cs="inter"/>
          <w:u w:val="single"/>
          <w:vertAlign w:val="superscript"/>
        </w:rPr>
        <w:t>[10]</w:t>
      </w:r>
      <w:r>
        <w:fldChar w:fldCharType="end"/>
      </w:r>
      <w:bookmarkStart w:id="413" w:name="fnref28_6"/>
      <w:bookmarkEnd w:id="413"/>
      <w:r>
        <w:fldChar w:fldCharType="begin"/>
      </w:r>
      <w:r>
        <w:instrText>HYPERLINK \l "fn28" \h</w:instrText>
      </w:r>
      <w:r>
        <w:fldChar w:fldCharType="separate"/>
      </w:r>
      <w:r>
        <w:rPr>
          <w:rFonts w:ascii="inter" w:eastAsia="inter" w:hAnsi="inter" w:cs="inter"/>
          <w:u w:val="single"/>
          <w:vertAlign w:val="superscript"/>
        </w:rPr>
        <w:t>[28]</w:t>
      </w:r>
      <w:r>
        <w:fldChar w:fldCharType="end"/>
      </w:r>
      <w:bookmarkStart w:id="414" w:name="fnref7_7"/>
      <w:bookmarkEnd w:id="414"/>
      <w:r>
        <w:fldChar w:fldCharType="begin"/>
      </w:r>
      <w:r>
        <w:instrText>HYPERLINK \l "fn7" \h</w:instrText>
      </w:r>
      <w:r>
        <w:fldChar w:fldCharType="separate"/>
      </w:r>
      <w:r>
        <w:rPr>
          <w:rFonts w:ascii="inter" w:eastAsia="inter" w:hAnsi="inter" w:cs="inter"/>
          <w:u w:val="single"/>
          <w:vertAlign w:val="superscript"/>
        </w:rPr>
        <w:t>[7]</w:t>
      </w:r>
      <w:r>
        <w:fldChar w:fldCharType="end"/>
      </w:r>
    </w:p>
    <w:p w14:paraId="70117961" w14:textId="77777777" w:rsidR="00CB47B0" w:rsidRDefault="00000000">
      <w:pPr>
        <w:spacing w:after="210" w:line="360" w:lineRule="auto"/>
      </w:pPr>
      <w:r>
        <w:rPr>
          <w:rFonts w:ascii="inter" w:eastAsia="inter" w:hAnsi="inter" w:cs="inter"/>
          <w:color w:val="000000"/>
        </w:rPr>
        <w:t>Vietnam's offshore low-carbon energy transition represents one of Southeast Asia's largest emerging opportunities over the coming decades, with market fundamentals—ambitious targets, substantial resources, growing demand, and international support—supporting optimistic long-term outlook despite near-term uncertainties. North East Scotland companies possess distinctive competitive advantages in critical sectors including decommissioning, offshore wind engineering and O&amp;M, CCUS services, and green hydrogen integration. Success requires careful navigation of regulatory uncertainties, strategic partnerships with Vietnamese entities, phased investment approaches managing risk, and sustained commitment to market development and capability building. Companies pursuing these opportunities with appropriate strategies and realistic expectations can establish strong positions in a market that will generate decades of business opportunity supporting Vietnam's transformation to a low-carbon energy system.</w:t>
      </w:r>
      <w:r>
        <w:rPr>
          <w:rFonts w:ascii="inter" w:eastAsia="inter" w:hAnsi="inter" w:cs="inter"/>
          <w:color w:val="000000"/>
        </w:rPr>
        <w:br/>
      </w:r>
    </w:p>
    <w:p w14:paraId="32B8A6DF" w14:textId="73A8626C" w:rsidR="00CB47B0" w:rsidRDefault="00A460CE" w:rsidP="00BA1DD0">
      <w:pPr>
        <w:pStyle w:val="Heading1"/>
      </w:pPr>
      <w:r>
        <w:rPr>
          <w:rFonts w:eastAsia="inter"/>
        </w:rPr>
        <w:t>APPENDIX 1: REFER</w:t>
      </w:r>
      <w:r w:rsidR="00BA1DD0">
        <w:rPr>
          <w:rFonts w:eastAsia="inter"/>
        </w:rPr>
        <w:t>ENCES</w:t>
      </w:r>
      <w:r>
        <w:rPr>
          <w:rFonts w:eastAsia="inter"/>
        </w:rPr>
        <w:t xml:space="preserve"> &amp; SOURCES USED</w:t>
      </w:r>
    </w:p>
    <w:bookmarkStart w:id="415" w:name="fn1"/>
    <w:bookmarkEnd w:id="415"/>
    <w:p w14:paraId="70E68B94" w14:textId="77777777" w:rsidR="00CB47B0" w:rsidRDefault="00000000">
      <w:pPr>
        <w:numPr>
          <w:ilvl w:val="0"/>
          <w:numId w:val="2"/>
        </w:numPr>
        <w:spacing w:after="210" w:line="360" w:lineRule="auto"/>
      </w:pPr>
      <w:r>
        <w:fldChar w:fldCharType="begin"/>
      </w:r>
      <w:r>
        <w:instrText>HYPERLINK "https://www.rivieramm.com/news-content-hub/news-content-hub/vietnamese-government-targets-6-gw-of-offshore-wind-by-2030-76180" \h</w:instrText>
      </w:r>
      <w:r>
        <w:fldChar w:fldCharType="separate"/>
      </w:r>
      <w:r>
        <w:rPr>
          <w:rFonts w:ascii="inter" w:eastAsia="inter" w:hAnsi="inter" w:cs="inter"/>
          <w:sz w:val="18"/>
          <w:u w:val="single"/>
        </w:rPr>
        <w:t>https://www.rivieramm.com/news-content-hub/news-content-hub/vietnamese-government-targets-6-gw-of-offshore-wind-by-2030-76180</w:t>
      </w:r>
      <w:r>
        <w:fldChar w:fldCharType="end"/>
      </w:r>
      <w:r>
        <w:rPr>
          <w:rFonts w:ascii="inter" w:eastAsia="inter" w:hAnsi="inter" w:cs="inter"/>
          <w:color w:val="000000"/>
          <w:sz w:val="18"/>
        </w:rPr>
        <w:t xml:space="preserve">        </w:t>
      </w:r>
    </w:p>
    <w:bookmarkStart w:id="416" w:name="fn2"/>
    <w:bookmarkEnd w:id="416"/>
    <w:p w14:paraId="5785B369" w14:textId="77777777" w:rsidR="00CB47B0" w:rsidRDefault="00000000">
      <w:pPr>
        <w:numPr>
          <w:ilvl w:val="0"/>
          <w:numId w:val="2"/>
        </w:numPr>
        <w:spacing w:after="210" w:line="360" w:lineRule="auto"/>
      </w:pPr>
      <w:r>
        <w:fldChar w:fldCharType="begin"/>
      </w:r>
      <w:r>
        <w:instrText>HYPERLINK "https://climateactiontracker.org/countries/vietnam/" \h</w:instrText>
      </w:r>
      <w:r>
        <w:fldChar w:fldCharType="separate"/>
      </w:r>
      <w:r>
        <w:rPr>
          <w:rFonts w:ascii="inter" w:eastAsia="inter" w:hAnsi="inter" w:cs="inter"/>
          <w:sz w:val="18"/>
          <w:u w:val="single"/>
        </w:rPr>
        <w:t>https://climateactiontracker.org/countries/vietnam/</w:t>
      </w:r>
      <w:r>
        <w:fldChar w:fldCharType="end"/>
      </w:r>
      <w:r>
        <w:rPr>
          <w:rFonts w:ascii="inter" w:eastAsia="inter" w:hAnsi="inter" w:cs="inter"/>
          <w:color w:val="000000"/>
          <w:sz w:val="18"/>
        </w:rPr>
        <w:t xml:space="preserve">       </w:t>
      </w:r>
    </w:p>
    <w:bookmarkStart w:id="417" w:name="fn3"/>
    <w:bookmarkEnd w:id="417"/>
    <w:p w14:paraId="3F40ACB8" w14:textId="77777777" w:rsidR="00CB47B0" w:rsidRDefault="00000000">
      <w:pPr>
        <w:numPr>
          <w:ilvl w:val="0"/>
          <w:numId w:val="2"/>
        </w:numPr>
        <w:spacing w:after="210" w:line="360" w:lineRule="auto"/>
      </w:pPr>
      <w:r>
        <w:fldChar w:fldCharType="begin"/>
      </w:r>
      <w:r>
        <w:instrText>HYPERLINK "https://energytracker.asia/renewable-energy-investments-in-vietnam-asias-next-clean-energy-powerhouse/" \h</w:instrText>
      </w:r>
      <w:r>
        <w:fldChar w:fldCharType="separate"/>
      </w:r>
      <w:r>
        <w:rPr>
          <w:rFonts w:ascii="inter" w:eastAsia="inter" w:hAnsi="inter" w:cs="inter"/>
          <w:sz w:val="18"/>
          <w:u w:val="single"/>
        </w:rPr>
        <w:t>https://energytracker.asia/renewable-energy-investments-in-vietnam-asias-next-clean-energy-powerhouse/</w:t>
      </w:r>
      <w:r>
        <w:fldChar w:fldCharType="end"/>
      </w:r>
      <w:r>
        <w:rPr>
          <w:rFonts w:ascii="inter" w:eastAsia="inter" w:hAnsi="inter" w:cs="inter"/>
          <w:color w:val="000000"/>
          <w:sz w:val="18"/>
        </w:rPr>
        <w:t xml:space="preserve">       </w:t>
      </w:r>
    </w:p>
    <w:bookmarkStart w:id="418" w:name="fn4"/>
    <w:bookmarkEnd w:id="418"/>
    <w:p w14:paraId="2F2EE610" w14:textId="77777777" w:rsidR="00CB47B0" w:rsidRDefault="00000000">
      <w:pPr>
        <w:numPr>
          <w:ilvl w:val="0"/>
          <w:numId w:val="2"/>
        </w:numPr>
        <w:spacing w:after="210" w:line="360" w:lineRule="auto"/>
      </w:pPr>
      <w:r>
        <w:fldChar w:fldCharType="begin"/>
      </w:r>
      <w:r>
        <w:instrText>HYPERLINK "https://energytracker.asia/vietnam-solar-energy-boom/" \h</w:instrText>
      </w:r>
      <w:r>
        <w:fldChar w:fldCharType="separate"/>
      </w:r>
      <w:r>
        <w:rPr>
          <w:rFonts w:ascii="inter" w:eastAsia="inter" w:hAnsi="inter" w:cs="inter"/>
          <w:sz w:val="18"/>
          <w:u w:val="single"/>
        </w:rPr>
        <w:t>https://energytracker.asia/vietnam-solar-energy-boom/</w:t>
      </w:r>
      <w:r>
        <w:fldChar w:fldCharType="end"/>
      </w:r>
      <w:r>
        <w:rPr>
          <w:rFonts w:ascii="inter" w:eastAsia="inter" w:hAnsi="inter" w:cs="inter"/>
          <w:color w:val="000000"/>
          <w:sz w:val="18"/>
        </w:rPr>
        <w:t xml:space="preserve">    </w:t>
      </w:r>
    </w:p>
    <w:bookmarkStart w:id="419" w:name="fn5"/>
    <w:bookmarkEnd w:id="419"/>
    <w:p w14:paraId="353CB7C6" w14:textId="77777777" w:rsidR="00CB47B0" w:rsidRDefault="00000000">
      <w:pPr>
        <w:numPr>
          <w:ilvl w:val="0"/>
          <w:numId w:val="2"/>
        </w:numPr>
        <w:spacing w:after="210" w:line="360" w:lineRule="auto"/>
      </w:pPr>
      <w:r>
        <w:fldChar w:fldCharType="begin"/>
      </w:r>
      <w:r>
        <w:instrText>HYPERLINK "https://www.spglobal.com/commodity-insights/en/news-research/blog/energy-transition/051625-us-tariffs-cloud-vietnams-energy-transition" \h</w:instrText>
      </w:r>
      <w:r>
        <w:fldChar w:fldCharType="separate"/>
      </w:r>
      <w:r>
        <w:rPr>
          <w:rFonts w:ascii="inter" w:eastAsia="inter" w:hAnsi="inter" w:cs="inter"/>
          <w:sz w:val="18"/>
          <w:u w:val="single"/>
        </w:rPr>
        <w:t>https://www.spglobal.com/commodity-insights/en/news-research/blog/energy-transition/051625-us-tariffs-cloud-vietnams-energy-transition</w:t>
      </w:r>
      <w:r>
        <w:fldChar w:fldCharType="end"/>
      </w:r>
      <w:r>
        <w:rPr>
          <w:rFonts w:ascii="inter" w:eastAsia="inter" w:hAnsi="inter" w:cs="inter"/>
          <w:color w:val="000000"/>
          <w:sz w:val="18"/>
        </w:rPr>
        <w:t xml:space="preserve">        </w:t>
      </w:r>
    </w:p>
    <w:bookmarkStart w:id="420" w:name="fn6"/>
    <w:bookmarkEnd w:id="420"/>
    <w:p w14:paraId="7562F71A" w14:textId="77777777" w:rsidR="00CB47B0" w:rsidRDefault="00000000">
      <w:pPr>
        <w:numPr>
          <w:ilvl w:val="0"/>
          <w:numId w:val="2"/>
        </w:numPr>
        <w:spacing w:after="210" w:line="360" w:lineRule="auto"/>
      </w:pPr>
      <w:r>
        <w:fldChar w:fldCharType="begin"/>
      </w:r>
      <w:r>
        <w:instrText>HYPERLINK "https://energyalliance.org/made-in-vietnam-energy-plan-4-0-mvep-4-0/" \h</w:instrText>
      </w:r>
      <w:r>
        <w:fldChar w:fldCharType="separate"/>
      </w:r>
      <w:r>
        <w:rPr>
          <w:rFonts w:ascii="inter" w:eastAsia="inter" w:hAnsi="inter" w:cs="inter"/>
          <w:sz w:val="18"/>
          <w:u w:val="single"/>
        </w:rPr>
        <w:t>https://energyalliance.org/made-in-vietnam-energy-plan-4-0-mvep-4-0/</w:t>
      </w:r>
      <w:r>
        <w:fldChar w:fldCharType="end"/>
      </w:r>
      <w:r>
        <w:rPr>
          <w:rFonts w:ascii="inter" w:eastAsia="inter" w:hAnsi="inter" w:cs="inter"/>
          <w:color w:val="000000"/>
          <w:sz w:val="18"/>
        </w:rPr>
        <w:t xml:space="preserve">   </w:t>
      </w:r>
    </w:p>
    <w:bookmarkStart w:id="421" w:name="fn7"/>
    <w:bookmarkEnd w:id="421"/>
    <w:p w14:paraId="70AE87EB" w14:textId="77777777" w:rsidR="00CB47B0" w:rsidRDefault="00000000">
      <w:pPr>
        <w:numPr>
          <w:ilvl w:val="0"/>
          <w:numId w:val="2"/>
        </w:numPr>
        <w:spacing w:after="210" w:line="360" w:lineRule="auto"/>
      </w:pPr>
      <w:r>
        <w:fldChar w:fldCharType="begin"/>
      </w:r>
      <w:r>
        <w:instrText>HYPERLINK "https://cms.law/en/int/expert-guides/cms-expert-guide-to-renewable-energy/vietnam" \h</w:instrText>
      </w:r>
      <w:r>
        <w:fldChar w:fldCharType="separate"/>
      </w:r>
      <w:r>
        <w:rPr>
          <w:rFonts w:ascii="inter" w:eastAsia="inter" w:hAnsi="inter" w:cs="inter"/>
          <w:sz w:val="18"/>
          <w:u w:val="single"/>
        </w:rPr>
        <w:t>https://cms.law/en/int/expert-guides/cms-expert-guide-to-renewable-energy/vietnam</w:t>
      </w:r>
      <w:r>
        <w:fldChar w:fldCharType="end"/>
      </w:r>
      <w:r>
        <w:rPr>
          <w:rFonts w:ascii="inter" w:eastAsia="inter" w:hAnsi="inter" w:cs="inter"/>
          <w:color w:val="000000"/>
          <w:sz w:val="18"/>
        </w:rPr>
        <w:t xml:space="preserve">        </w:t>
      </w:r>
    </w:p>
    <w:bookmarkStart w:id="422" w:name="fn8"/>
    <w:bookmarkEnd w:id="422"/>
    <w:p w14:paraId="72A13CBA" w14:textId="77777777" w:rsidR="00CB47B0" w:rsidRDefault="00000000">
      <w:pPr>
        <w:numPr>
          <w:ilvl w:val="0"/>
          <w:numId w:val="2"/>
        </w:numPr>
        <w:spacing w:after="210" w:line="360" w:lineRule="auto"/>
      </w:pPr>
      <w:r>
        <w:fldChar w:fldCharType="begin"/>
      </w:r>
      <w:r>
        <w:instrText>HYPERLINK "https://ieefa.org/resources/boom-balance-vietnams-clean-energy-transition" \h</w:instrText>
      </w:r>
      <w:r>
        <w:fldChar w:fldCharType="separate"/>
      </w:r>
      <w:r>
        <w:rPr>
          <w:rFonts w:ascii="inter" w:eastAsia="inter" w:hAnsi="inter" w:cs="inter"/>
          <w:sz w:val="18"/>
          <w:u w:val="single"/>
        </w:rPr>
        <w:t>https://ieefa.org/resources/boom-balance-vietnams-clean-energy-transition</w:t>
      </w:r>
      <w:r>
        <w:fldChar w:fldCharType="end"/>
      </w:r>
      <w:r>
        <w:rPr>
          <w:rFonts w:ascii="inter" w:eastAsia="inter" w:hAnsi="inter" w:cs="inter"/>
          <w:color w:val="000000"/>
          <w:sz w:val="18"/>
        </w:rPr>
        <w:t xml:space="preserve">        </w:t>
      </w:r>
    </w:p>
    <w:bookmarkStart w:id="423" w:name="fn9"/>
    <w:bookmarkEnd w:id="423"/>
    <w:p w14:paraId="2EA39D3D" w14:textId="77777777" w:rsidR="00CB47B0" w:rsidRDefault="00000000">
      <w:pPr>
        <w:numPr>
          <w:ilvl w:val="0"/>
          <w:numId w:val="2"/>
        </w:numPr>
        <w:spacing w:after="210" w:line="360" w:lineRule="auto"/>
      </w:pPr>
      <w:r>
        <w:fldChar w:fldCharType="begin"/>
      </w:r>
      <w:r>
        <w:instrText>HYPERLINK "https://www.vietnam-briefing.com/news/vietnam-renewable-energy-decree-57.html/" \h</w:instrText>
      </w:r>
      <w:r>
        <w:fldChar w:fldCharType="separate"/>
      </w:r>
      <w:r>
        <w:rPr>
          <w:rFonts w:ascii="inter" w:eastAsia="inter" w:hAnsi="inter" w:cs="inter"/>
          <w:sz w:val="18"/>
          <w:u w:val="single"/>
        </w:rPr>
        <w:t>https://www.vietnam-briefing.com/news/vietnam-renewable-energy-decree-57.html/</w:t>
      </w:r>
      <w:r>
        <w:fldChar w:fldCharType="end"/>
      </w:r>
      <w:r>
        <w:rPr>
          <w:rFonts w:ascii="inter" w:eastAsia="inter" w:hAnsi="inter" w:cs="inter"/>
          <w:color w:val="000000"/>
          <w:sz w:val="18"/>
        </w:rPr>
        <w:t xml:space="preserve">     </w:t>
      </w:r>
    </w:p>
    <w:bookmarkStart w:id="424" w:name="fn10"/>
    <w:bookmarkEnd w:id="424"/>
    <w:p w14:paraId="55D3F5C4" w14:textId="77777777" w:rsidR="00CB47B0" w:rsidRDefault="00000000">
      <w:pPr>
        <w:numPr>
          <w:ilvl w:val="0"/>
          <w:numId w:val="2"/>
        </w:numPr>
        <w:spacing w:after="210" w:line="360" w:lineRule="auto"/>
      </w:pPr>
      <w:r>
        <w:fldChar w:fldCharType="begin"/>
      </w:r>
      <w:r>
        <w:instrText>HYPERLINK "https://www.gwec.net/gwec-news/gwec-report-outlines-crucial-next-steps-for-vietnam-to-scale-investment-and-achieve-offshore-wind-targets" \h</w:instrText>
      </w:r>
      <w:r>
        <w:fldChar w:fldCharType="separate"/>
      </w:r>
      <w:r>
        <w:rPr>
          <w:rFonts w:ascii="inter" w:eastAsia="inter" w:hAnsi="inter" w:cs="inter"/>
          <w:sz w:val="18"/>
          <w:u w:val="single"/>
        </w:rPr>
        <w:t>https://www.gwec.net/gwec-news/gwec-report-outlines-crucial-next-steps-for-vietnam-to-scale-investment-and-achieve-offshore-wind-targets</w:t>
      </w:r>
      <w:r>
        <w:fldChar w:fldCharType="end"/>
      </w:r>
      <w:r>
        <w:rPr>
          <w:rFonts w:ascii="inter" w:eastAsia="inter" w:hAnsi="inter" w:cs="inter"/>
          <w:color w:val="000000"/>
          <w:sz w:val="18"/>
        </w:rPr>
        <w:t xml:space="preserve">    </w:t>
      </w:r>
    </w:p>
    <w:bookmarkStart w:id="425" w:name="fn11"/>
    <w:bookmarkEnd w:id="425"/>
    <w:p w14:paraId="3F883A6B" w14:textId="77777777" w:rsidR="00CB47B0" w:rsidRDefault="00000000">
      <w:pPr>
        <w:numPr>
          <w:ilvl w:val="0"/>
          <w:numId w:val="2"/>
        </w:numPr>
        <w:spacing w:after="210" w:line="360" w:lineRule="auto"/>
      </w:pPr>
      <w:r>
        <w:fldChar w:fldCharType="begin"/>
      </w:r>
      <w:r>
        <w:instrText>HYPERLINK "https://openknowledge.worldbank.org/bitstreams/b67b86b7-e1d9-4096-8220-2854e8f1faed/download" \h</w:instrText>
      </w:r>
      <w:r>
        <w:fldChar w:fldCharType="separate"/>
      </w:r>
      <w:r>
        <w:rPr>
          <w:rFonts w:ascii="inter" w:eastAsia="inter" w:hAnsi="inter" w:cs="inter"/>
          <w:sz w:val="18"/>
          <w:u w:val="single"/>
        </w:rPr>
        <w:t>https://openknowledge.worldbank.org/bitstreams/b67b86b7-e1d9-4096-8220-2854e8f1faed/download</w:t>
      </w:r>
      <w:r>
        <w:fldChar w:fldCharType="end"/>
      </w:r>
      <w:r>
        <w:rPr>
          <w:rFonts w:ascii="inter" w:eastAsia="inter" w:hAnsi="inter" w:cs="inter"/>
          <w:color w:val="000000"/>
          <w:sz w:val="18"/>
        </w:rPr>
        <w:t xml:space="preserve">   </w:t>
      </w:r>
    </w:p>
    <w:bookmarkStart w:id="426" w:name="fn12"/>
    <w:bookmarkEnd w:id="426"/>
    <w:p w14:paraId="6835E905" w14:textId="77777777" w:rsidR="00CB47B0" w:rsidRDefault="00000000">
      <w:pPr>
        <w:numPr>
          <w:ilvl w:val="0"/>
          <w:numId w:val="2"/>
        </w:numPr>
        <w:spacing w:after="210" w:line="360" w:lineRule="auto"/>
      </w:pPr>
      <w:r>
        <w:fldChar w:fldCharType="begin"/>
      </w:r>
      <w:r>
        <w:instrText>HYPERLINK "https://pidg.org/impact-story/transforming-vietnams-renewable-energy-infrastructure-market/" \h</w:instrText>
      </w:r>
      <w:r>
        <w:fldChar w:fldCharType="separate"/>
      </w:r>
      <w:r>
        <w:rPr>
          <w:rFonts w:ascii="inter" w:eastAsia="inter" w:hAnsi="inter" w:cs="inter"/>
          <w:sz w:val="18"/>
          <w:u w:val="single"/>
        </w:rPr>
        <w:t>https://pidg.org/impact-story/transforming-vietnams-renewable-energy-infrastructure-market/</w:t>
      </w:r>
      <w:r>
        <w:fldChar w:fldCharType="end"/>
      </w:r>
      <w:r>
        <w:rPr>
          <w:rFonts w:ascii="inter" w:eastAsia="inter" w:hAnsi="inter" w:cs="inter"/>
          <w:color w:val="000000"/>
          <w:sz w:val="18"/>
        </w:rPr>
        <w:t xml:space="preserve"> </w:t>
      </w:r>
    </w:p>
    <w:bookmarkStart w:id="427" w:name="fn13"/>
    <w:bookmarkEnd w:id="427"/>
    <w:p w14:paraId="77394FF6" w14:textId="77777777" w:rsidR="00CB47B0" w:rsidRDefault="00000000">
      <w:pPr>
        <w:numPr>
          <w:ilvl w:val="0"/>
          <w:numId w:val="2"/>
        </w:numPr>
        <w:spacing w:after="210" w:line="360" w:lineRule="auto"/>
      </w:pPr>
      <w:r>
        <w:fldChar w:fldCharType="begin"/>
      </w:r>
      <w:r>
        <w:instrText>HYPERLINK "https://www.mckinsey.com/industries/electric-power-and-natural-gas/our-insights/putting-renewable-energy-within-reach-vietnams-high-stakes-pivot" \h</w:instrText>
      </w:r>
      <w:r>
        <w:fldChar w:fldCharType="separate"/>
      </w:r>
      <w:r>
        <w:rPr>
          <w:rFonts w:ascii="inter" w:eastAsia="inter" w:hAnsi="inter" w:cs="inter"/>
          <w:sz w:val="18"/>
          <w:u w:val="single"/>
        </w:rPr>
        <w:t>https://www.mckinsey.com/industries/electric-power-and-natural-gas/our-insights/putting-renewable-energy-within-reach-vietnams-high-stakes-pivot</w:t>
      </w:r>
      <w:r>
        <w:fldChar w:fldCharType="end"/>
      </w:r>
      <w:r>
        <w:rPr>
          <w:rFonts w:ascii="inter" w:eastAsia="inter" w:hAnsi="inter" w:cs="inter"/>
          <w:color w:val="000000"/>
          <w:sz w:val="18"/>
        </w:rPr>
        <w:t xml:space="preserve">       </w:t>
      </w:r>
    </w:p>
    <w:bookmarkStart w:id="428" w:name="fn14"/>
    <w:bookmarkEnd w:id="428"/>
    <w:p w14:paraId="6CBD86D4" w14:textId="77777777" w:rsidR="00CB47B0" w:rsidRDefault="00000000">
      <w:pPr>
        <w:numPr>
          <w:ilvl w:val="0"/>
          <w:numId w:val="2"/>
        </w:numPr>
        <w:spacing w:after="210" w:line="360" w:lineRule="auto"/>
      </w:pPr>
      <w:r>
        <w:fldChar w:fldCharType="begin"/>
      </w:r>
      <w:r>
        <w:instrText>HYPERLINK "https://www.energytransitionpartnership.org/wp-content/uploads/2024/06/Managing-Vietnams-Grid-Issues-for-Effective-Energy-Transition.pdf" \h</w:instrText>
      </w:r>
      <w:r>
        <w:fldChar w:fldCharType="separate"/>
      </w:r>
      <w:r>
        <w:rPr>
          <w:rFonts w:ascii="inter" w:eastAsia="inter" w:hAnsi="inter" w:cs="inter"/>
          <w:sz w:val="18"/>
          <w:u w:val="single"/>
        </w:rPr>
        <w:t>https://www.energytransitionpartnership.org/wp-content/uploads/2024/06/Managing-Vietnams-Grid-Issues-for-Effective-Energy-Transition.pdf</w:t>
      </w:r>
      <w:r>
        <w:fldChar w:fldCharType="end"/>
      </w:r>
      <w:r>
        <w:rPr>
          <w:rFonts w:ascii="inter" w:eastAsia="inter" w:hAnsi="inter" w:cs="inter"/>
          <w:color w:val="000000"/>
          <w:sz w:val="18"/>
        </w:rPr>
        <w:t xml:space="preserve">      </w:t>
      </w:r>
    </w:p>
    <w:bookmarkStart w:id="429" w:name="fn15"/>
    <w:bookmarkEnd w:id="429"/>
    <w:p w14:paraId="3DEA5399" w14:textId="77777777" w:rsidR="00CB47B0" w:rsidRDefault="00000000">
      <w:pPr>
        <w:numPr>
          <w:ilvl w:val="0"/>
          <w:numId w:val="2"/>
        </w:numPr>
        <w:spacing w:after="210" w:line="360" w:lineRule="auto"/>
      </w:pPr>
      <w:r>
        <w:fldChar w:fldCharType="begin"/>
      </w:r>
      <w:r>
        <w:instrText>HYPERLINK "https://www.powerinfotoday.com/renewable-energy/vietnam-renewable-energy-shift-opportunities-challenges/" \h</w:instrText>
      </w:r>
      <w:r>
        <w:fldChar w:fldCharType="separate"/>
      </w:r>
      <w:r>
        <w:rPr>
          <w:rFonts w:ascii="inter" w:eastAsia="inter" w:hAnsi="inter" w:cs="inter"/>
          <w:sz w:val="18"/>
          <w:u w:val="single"/>
        </w:rPr>
        <w:t>https://www.powerinfotoday.com/renewable-energy/vietnam-renewable-energy-shift-opportunities-challenges/</w:t>
      </w:r>
      <w:r>
        <w:fldChar w:fldCharType="end"/>
      </w:r>
      <w:r>
        <w:rPr>
          <w:rFonts w:ascii="inter" w:eastAsia="inter" w:hAnsi="inter" w:cs="inter"/>
          <w:color w:val="000000"/>
          <w:sz w:val="18"/>
        </w:rPr>
        <w:t xml:space="preserve"> </w:t>
      </w:r>
    </w:p>
    <w:bookmarkStart w:id="430" w:name="fn16"/>
    <w:bookmarkEnd w:id="430"/>
    <w:p w14:paraId="6195F3AA" w14:textId="77777777" w:rsidR="00CB47B0" w:rsidRDefault="00000000">
      <w:pPr>
        <w:numPr>
          <w:ilvl w:val="0"/>
          <w:numId w:val="2"/>
        </w:numPr>
        <w:spacing w:after="210" w:line="360" w:lineRule="auto"/>
      </w:pPr>
      <w:r>
        <w:fldChar w:fldCharType="begin"/>
      </w:r>
      <w:r>
        <w:instrText>HYPERLINK "https://asian-power.com/power-utility/exclusive/vietnams-weak-grid-barrier-direct-power-purchase-policy" \h</w:instrText>
      </w:r>
      <w:r>
        <w:fldChar w:fldCharType="separate"/>
      </w:r>
      <w:r>
        <w:rPr>
          <w:rFonts w:ascii="inter" w:eastAsia="inter" w:hAnsi="inter" w:cs="inter"/>
          <w:sz w:val="18"/>
          <w:u w:val="single"/>
        </w:rPr>
        <w:t>https://asian-power.com/power-utility/exclusive/vietnams-weak-grid-barrier-direct-power-purchase-policy</w:t>
      </w:r>
      <w:r>
        <w:fldChar w:fldCharType="end"/>
      </w:r>
      <w:r>
        <w:rPr>
          <w:rFonts w:ascii="inter" w:eastAsia="inter" w:hAnsi="inter" w:cs="inter"/>
          <w:color w:val="000000"/>
          <w:sz w:val="18"/>
        </w:rPr>
        <w:t xml:space="preserve">     </w:t>
      </w:r>
    </w:p>
    <w:bookmarkStart w:id="431" w:name="fn17"/>
    <w:bookmarkEnd w:id="431"/>
    <w:p w14:paraId="50B1ADDA" w14:textId="77777777" w:rsidR="00CB47B0" w:rsidRDefault="00000000">
      <w:pPr>
        <w:numPr>
          <w:ilvl w:val="0"/>
          <w:numId w:val="2"/>
        </w:numPr>
        <w:spacing w:after="210" w:line="360" w:lineRule="auto"/>
      </w:pPr>
      <w:r>
        <w:fldChar w:fldCharType="begin"/>
      </w:r>
      <w:r>
        <w:instrText>HYPERLINK "https://www.norway.no/globalassets/2-world/vietnam/documents/034625-vietnam-supply-chain-study_eng.pdf" \h</w:instrText>
      </w:r>
      <w:r>
        <w:fldChar w:fldCharType="separate"/>
      </w:r>
      <w:r>
        <w:rPr>
          <w:rFonts w:ascii="inter" w:eastAsia="inter" w:hAnsi="inter" w:cs="inter"/>
          <w:sz w:val="18"/>
          <w:u w:val="single"/>
        </w:rPr>
        <w:t>https://www.norway.no/globalassets/2-world/vietnam/documents/034625-vietnam-supply-chain-study_eng.pdf</w:t>
      </w:r>
      <w:r>
        <w:fldChar w:fldCharType="end"/>
      </w:r>
      <w:r>
        <w:rPr>
          <w:rFonts w:ascii="inter" w:eastAsia="inter" w:hAnsi="inter" w:cs="inter"/>
          <w:color w:val="000000"/>
          <w:sz w:val="18"/>
        </w:rPr>
        <w:t xml:space="preserve">         </w:t>
      </w:r>
    </w:p>
    <w:bookmarkStart w:id="432" w:name="fn18"/>
    <w:bookmarkEnd w:id="432"/>
    <w:p w14:paraId="4B677004" w14:textId="77777777" w:rsidR="00CB47B0" w:rsidRDefault="00000000">
      <w:pPr>
        <w:numPr>
          <w:ilvl w:val="0"/>
          <w:numId w:val="2"/>
        </w:numPr>
        <w:spacing w:after="210" w:line="360" w:lineRule="auto"/>
      </w:pPr>
      <w:r>
        <w:fldChar w:fldCharType="begin"/>
      </w:r>
      <w:r>
        <w:instrText>HYPERLINK "https://blogs.duanemorris.com/vietnam/2024/11/27/offshore-wind-energy-investment-what-you-must-know/" \h</w:instrText>
      </w:r>
      <w:r>
        <w:fldChar w:fldCharType="separate"/>
      </w:r>
      <w:r>
        <w:rPr>
          <w:rFonts w:ascii="inter" w:eastAsia="inter" w:hAnsi="inter" w:cs="inter"/>
          <w:sz w:val="18"/>
          <w:u w:val="single"/>
        </w:rPr>
        <w:t>https://blogs.duanemorris.com/vietnam/2024/11/27/offshore-wind-energy-investment-what-you-must-know/</w:t>
      </w:r>
      <w:r>
        <w:fldChar w:fldCharType="end"/>
      </w:r>
      <w:r>
        <w:rPr>
          <w:rFonts w:ascii="inter" w:eastAsia="inter" w:hAnsi="inter" w:cs="inter"/>
          <w:color w:val="000000"/>
          <w:sz w:val="18"/>
        </w:rPr>
        <w:t xml:space="preserve">               </w:t>
      </w:r>
    </w:p>
    <w:bookmarkStart w:id="433" w:name="fn19"/>
    <w:bookmarkEnd w:id="433"/>
    <w:p w14:paraId="5A4131E7" w14:textId="77777777" w:rsidR="00CB47B0" w:rsidRDefault="00000000">
      <w:pPr>
        <w:numPr>
          <w:ilvl w:val="0"/>
          <w:numId w:val="2"/>
        </w:numPr>
        <w:spacing w:after="210" w:line="360" w:lineRule="auto"/>
      </w:pPr>
      <w:r>
        <w:fldChar w:fldCharType="begin"/>
      </w:r>
      <w:r>
        <w:instrText>HYPERLINK "https://energyfocus.the-eic.com/renewables/can-asia-pacifics-offshore-supply-chains-keep" \h</w:instrText>
      </w:r>
      <w:r>
        <w:fldChar w:fldCharType="separate"/>
      </w:r>
      <w:r>
        <w:rPr>
          <w:rFonts w:ascii="inter" w:eastAsia="inter" w:hAnsi="inter" w:cs="inter"/>
          <w:sz w:val="18"/>
          <w:u w:val="single"/>
        </w:rPr>
        <w:t>https://energyfocus.the-eic.com/renewables/can-asia-pacifics-offshore-supply-chains-keep</w:t>
      </w:r>
      <w:r>
        <w:fldChar w:fldCharType="end"/>
      </w:r>
      <w:r>
        <w:rPr>
          <w:rFonts w:ascii="inter" w:eastAsia="inter" w:hAnsi="inter" w:cs="inter"/>
          <w:color w:val="000000"/>
          <w:sz w:val="18"/>
        </w:rPr>
        <w:t xml:space="preserve">        </w:t>
      </w:r>
    </w:p>
    <w:bookmarkStart w:id="434" w:name="fn20"/>
    <w:bookmarkEnd w:id="434"/>
    <w:p w14:paraId="12244CB4" w14:textId="77777777" w:rsidR="00CB47B0" w:rsidRDefault="00000000">
      <w:pPr>
        <w:numPr>
          <w:ilvl w:val="0"/>
          <w:numId w:val="2"/>
        </w:numPr>
        <w:spacing w:after="210" w:line="360" w:lineRule="auto"/>
      </w:pPr>
      <w:r>
        <w:fldChar w:fldCharType="begin"/>
      </w:r>
      <w:r>
        <w:instrText>HYPERLINK "https://www.rivieramm.com/news-content-hub/news-content-hub/offshore-wind-could-supply-12-of-vietnamrsquos-electricity-by-2035-65958" \h</w:instrText>
      </w:r>
      <w:r>
        <w:fldChar w:fldCharType="separate"/>
      </w:r>
      <w:r>
        <w:rPr>
          <w:rFonts w:ascii="inter" w:eastAsia="inter" w:hAnsi="inter" w:cs="inter"/>
          <w:sz w:val="18"/>
          <w:u w:val="single"/>
        </w:rPr>
        <w:t>https://www.rivieramm.com/news-content-hub/news-content-hub/offshore-wind-could-supply-12-of-vietnamrsquos-electricity-by-2035-65958</w:t>
      </w:r>
      <w:r>
        <w:fldChar w:fldCharType="end"/>
      </w:r>
      <w:r>
        <w:rPr>
          <w:rFonts w:ascii="inter" w:eastAsia="inter" w:hAnsi="inter" w:cs="inter"/>
          <w:color w:val="000000"/>
          <w:sz w:val="18"/>
        </w:rPr>
        <w:t xml:space="preserve">            </w:t>
      </w:r>
    </w:p>
    <w:bookmarkStart w:id="435" w:name="fn21"/>
    <w:bookmarkEnd w:id="435"/>
    <w:p w14:paraId="159F4A71" w14:textId="77777777" w:rsidR="00CB47B0" w:rsidRDefault="00000000">
      <w:pPr>
        <w:numPr>
          <w:ilvl w:val="0"/>
          <w:numId w:val="2"/>
        </w:numPr>
        <w:spacing w:after="210" w:line="360" w:lineRule="auto"/>
      </w:pPr>
      <w:r>
        <w:fldChar w:fldCharType="begin"/>
      </w:r>
      <w:r>
        <w:instrText>HYPERLINK "https://aberdeenrenewables.com/member-news-offshore-renewables-supply-chain-accelerator-programme-open-for-north-east-businesses/" \h</w:instrText>
      </w:r>
      <w:r>
        <w:fldChar w:fldCharType="separate"/>
      </w:r>
      <w:r>
        <w:rPr>
          <w:rFonts w:ascii="inter" w:eastAsia="inter" w:hAnsi="inter" w:cs="inter"/>
          <w:sz w:val="18"/>
          <w:u w:val="single"/>
        </w:rPr>
        <w:t>https://aberdeenrenewables.com/member-news-offshore-renewables-supply-chain-accelerator-programme-open-for-north-east-businesses/</w:t>
      </w:r>
      <w:r>
        <w:fldChar w:fldCharType="end"/>
      </w:r>
      <w:r>
        <w:rPr>
          <w:rFonts w:ascii="inter" w:eastAsia="inter" w:hAnsi="inter" w:cs="inter"/>
          <w:color w:val="000000"/>
          <w:sz w:val="18"/>
        </w:rPr>
        <w:t xml:space="preserve">               </w:t>
      </w:r>
    </w:p>
    <w:bookmarkStart w:id="436" w:name="fn22"/>
    <w:bookmarkEnd w:id="436"/>
    <w:p w14:paraId="1AF79B9B" w14:textId="77777777" w:rsidR="00CB47B0" w:rsidRDefault="00000000">
      <w:pPr>
        <w:numPr>
          <w:ilvl w:val="0"/>
          <w:numId w:val="2"/>
        </w:numPr>
        <w:spacing w:after="210" w:line="360" w:lineRule="auto"/>
      </w:pPr>
      <w:r>
        <w:fldChar w:fldCharType="begin"/>
      </w:r>
      <w:r>
        <w:instrText>HYPERLINK "https://www.scottish-enterprise.com/media/jvcly43z/oil-and-gas-decommissioning-scottish-capability.pdf" \h</w:instrText>
      </w:r>
      <w:r>
        <w:fldChar w:fldCharType="separate"/>
      </w:r>
      <w:r>
        <w:rPr>
          <w:rFonts w:ascii="inter" w:eastAsia="inter" w:hAnsi="inter" w:cs="inter"/>
          <w:sz w:val="18"/>
          <w:u w:val="single"/>
        </w:rPr>
        <w:t>https://www.scottish-enterprise.com/media/jvcly43z/oil-and-gas-decommissioning-scottish-capability.pdf</w:t>
      </w:r>
      <w:r>
        <w:fldChar w:fldCharType="end"/>
      </w:r>
      <w:r>
        <w:rPr>
          <w:rFonts w:ascii="inter" w:eastAsia="inter" w:hAnsi="inter" w:cs="inter"/>
          <w:color w:val="000000"/>
          <w:sz w:val="18"/>
        </w:rPr>
        <w:t xml:space="preserve">                               </w:t>
      </w:r>
    </w:p>
    <w:bookmarkStart w:id="437" w:name="fn23"/>
    <w:bookmarkEnd w:id="437"/>
    <w:p w14:paraId="281958E2" w14:textId="77777777" w:rsidR="00CB47B0" w:rsidRDefault="00000000">
      <w:pPr>
        <w:numPr>
          <w:ilvl w:val="0"/>
          <w:numId w:val="2"/>
        </w:numPr>
        <w:spacing w:after="210" w:line="360" w:lineRule="auto"/>
      </w:pPr>
      <w:r>
        <w:fldChar w:fldCharType="begin"/>
      </w:r>
      <w:r>
        <w:instrText>HYPERLINK "https://www.sustainable-carbon.org/ccus-potential-of-vietnam-coal-plants-to-be-studied/" \h</w:instrText>
      </w:r>
      <w:r>
        <w:fldChar w:fldCharType="separate"/>
      </w:r>
      <w:r>
        <w:rPr>
          <w:rFonts w:ascii="inter" w:eastAsia="inter" w:hAnsi="inter" w:cs="inter"/>
          <w:sz w:val="18"/>
          <w:u w:val="single"/>
        </w:rPr>
        <w:t>https://www.sustainable-carbon.org/ccus-potential-of-vietnam-coal-plants-to-be-studied/</w:t>
      </w:r>
      <w:r>
        <w:fldChar w:fldCharType="end"/>
      </w:r>
      <w:r>
        <w:rPr>
          <w:rFonts w:ascii="inter" w:eastAsia="inter" w:hAnsi="inter" w:cs="inter"/>
          <w:color w:val="000000"/>
          <w:sz w:val="18"/>
        </w:rPr>
        <w:t xml:space="preserve">      </w:t>
      </w:r>
    </w:p>
    <w:bookmarkStart w:id="438" w:name="fn24"/>
    <w:bookmarkEnd w:id="438"/>
    <w:p w14:paraId="6F73AC31" w14:textId="77777777" w:rsidR="00CB47B0" w:rsidRDefault="00000000">
      <w:pPr>
        <w:numPr>
          <w:ilvl w:val="0"/>
          <w:numId w:val="2"/>
        </w:numPr>
        <w:spacing w:after="210" w:line="360" w:lineRule="auto"/>
      </w:pPr>
      <w:r>
        <w:fldChar w:fldCharType="begin"/>
      </w:r>
      <w:r>
        <w:instrText>HYPERLINK "https://carbonherald.com/black-veatch-to-perform-carbon-capture-feasibility-study-in-vietnam/" \h</w:instrText>
      </w:r>
      <w:r>
        <w:fldChar w:fldCharType="separate"/>
      </w:r>
      <w:r>
        <w:rPr>
          <w:rFonts w:ascii="inter" w:eastAsia="inter" w:hAnsi="inter" w:cs="inter"/>
          <w:sz w:val="18"/>
          <w:u w:val="single"/>
        </w:rPr>
        <w:t>https://carbonherald.com/black-veatch-to-perform-carbon-capture-feasibility-study-in-vietnam/</w:t>
      </w:r>
      <w:r>
        <w:fldChar w:fldCharType="end"/>
      </w:r>
      <w:r>
        <w:rPr>
          <w:rFonts w:ascii="inter" w:eastAsia="inter" w:hAnsi="inter" w:cs="inter"/>
          <w:color w:val="000000"/>
          <w:sz w:val="18"/>
        </w:rPr>
        <w:t xml:space="preserve">         </w:t>
      </w:r>
    </w:p>
    <w:bookmarkStart w:id="439" w:name="fn25"/>
    <w:bookmarkEnd w:id="439"/>
    <w:p w14:paraId="43A1C8B0" w14:textId="77777777" w:rsidR="00CB47B0" w:rsidRDefault="00000000">
      <w:pPr>
        <w:numPr>
          <w:ilvl w:val="0"/>
          <w:numId w:val="2"/>
        </w:numPr>
        <w:spacing w:after="210" w:line="360" w:lineRule="auto"/>
      </w:pPr>
      <w:r>
        <w:fldChar w:fldCharType="begin"/>
      </w:r>
      <w:r>
        <w:instrText>HYPERLINK "https://ammoniaenergy.org/articles/john-cockerill-to-provide-electrolyzers-for-tra-vinh-project-in-vietnam/" \h</w:instrText>
      </w:r>
      <w:r>
        <w:fldChar w:fldCharType="separate"/>
      </w:r>
      <w:r>
        <w:rPr>
          <w:rFonts w:ascii="inter" w:eastAsia="inter" w:hAnsi="inter" w:cs="inter"/>
          <w:sz w:val="18"/>
          <w:u w:val="single"/>
        </w:rPr>
        <w:t>https://ammoniaenergy.org/articles/john-cockerill-to-provide-electrolyzers-for-tra-vinh-project-in-vietnam/</w:t>
      </w:r>
      <w:r>
        <w:fldChar w:fldCharType="end"/>
      </w:r>
      <w:r>
        <w:rPr>
          <w:rFonts w:ascii="inter" w:eastAsia="inter" w:hAnsi="inter" w:cs="inter"/>
          <w:color w:val="000000"/>
          <w:sz w:val="18"/>
        </w:rPr>
        <w:t xml:space="preserve">        </w:t>
      </w:r>
    </w:p>
    <w:bookmarkStart w:id="440" w:name="fn26"/>
    <w:bookmarkEnd w:id="440"/>
    <w:p w14:paraId="309CEF91" w14:textId="77777777" w:rsidR="00CB47B0" w:rsidRDefault="00000000">
      <w:pPr>
        <w:numPr>
          <w:ilvl w:val="0"/>
          <w:numId w:val="2"/>
        </w:numPr>
        <w:spacing w:after="210" w:line="360" w:lineRule="auto"/>
      </w:pPr>
      <w:r>
        <w:fldChar w:fldCharType="begin"/>
      </w:r>
      <w:r>
        <w:instrText>HYPERLINK "https://www.h2-view.com/story/john-cockerill-inks-mou-for-electrolyser-supply-to-vietnam-green-ammonia-projects/2124490.article/" \h</w:instrText>
      </w:r>
      <w:r>
        <w:fldChar w:fldCharType="separate"/>
      </w:r>
      <w:r>
        <w:rPr>
          <w:rFonts w:ascii="inter" w:eastAsia="inter" w:hAnsi="inter" w:cs="inter"/>
          <w:sz w:val="18"/>
          <w:u w:val="single"/>
        </w:rPr>
        <w:t>https://www.h2-view.com/story/john-cockerill-inks-mou-for-electrolyser-supply-to-vietnam-green-ammonia-projects/2124490.article/</w:t>
      </w:r>
      <w:r>
        <w:fldChar w:fldCharType="end"/>
      </w:r>
      <w:r>
        <w:rPr>
          <w:rFonts w:ascii="inter" w:eastAsia="inter" w:hAnsi="inter" w:cs="inter"/>
          <w:color w:val="000000"/>
          <w:sz w:val="18"/>
        </w:rPr>
        <w:t xml:space="preserve">    </w:t>
      </w:r>
    </w:p>
    <w:bookmarkStart w:id="441" w:name="fn27"/>
    <w:bookmarkEnd w:id="441"/>
    <w:p w14:paraId="0F9F492C" w14:textId="77777777" w:rsidR="00CB47B0" w:rsidRDefault="00000000">
      <w:pPr>
        <w:numPr>
          <w:ilvl w:val="0"/>
          <w:numId w:val="2"/>
        </w:numPr>
        <w:spacing w:after="210" w:line="360" w:lineRule="auto"/>
      </w:pPr>
      <w:r>
        <w:fldChar w:fldCharType="begin"/>
      </w:r>
      <w:r>
        <w:instrText>HYPERLINK "https://www.oecd.org/content/dam/oecd/en/about/programmes/cefim/green-hydrogen/TheGreenSolutions-Case-Study.pdf/_jcr_content/renditions/original./TheGreenSolutions-Case-Study.pdf" \h</w:instrText>
      </w:r>
      <w:r>
        <w:fldChar w:fldCharType="separate"/>
      </w:r>
      <w:r>
        <w:rPr>
          <w:rFonts w:ascii="inter" w:eastAsia="inter" w:hAnsi="inter" w:cs="inter"/>
          <w:sz w:val="18"/>
          <w:u w:val="single"/>
        </w:rPr>
        <w:t>https://www.oecd.org/content/dam/oecd/en/about/programmes/cefim/green-hydrogen/TheGreenSolutions-Case-Study.pdf/_jcr_content/renditions/original./TheGreenSolutions-Case-Study.pdf</w:t>
      </w:r>
      <w:r>
        <w:fldChar w:fldCharType="end"/>
      </w:r>
      <w:r>
        <w:rPr>
          <w:rFonts w:ascii="inter" w:eastAsia="inter" w:hAnsi="inter" w:cs="inter"/>
          <w:color w:val="000000"/>
          <w:sz w:val="18"/>
        </w:rPr>
        <w:t xml:space="preserve">     </w:t>
      </w:r>
    </w:p>
    <w:bookmarkStart w:id="442" w:name="fn28"/>
    <w:bookmarkEnd w:id="442"/>
    <w:p w14:paraId="6CC6D900" w14:textId="77777777" w:rsidR="00CB47B0" w:rsidRDefault="00000000">
      <w:pPr>
        <w:numPr>
          <w:ilvl w:val="0"/>
          <w:numId w:val="2"/>
        </w:numPr>
        <w:spacing w:after="210" w:line="360" w:lineRule="auto"/>
      </w:pPr>
      <w:r>
        <w:fldChar w:fldCharType="begin"/>
      </w:r>
      <w:r>
        <w:instrText>HYPERLINK "https://tapchimoitruong.vn/news-13/offshore-wind-power-development-policy-in-vietnam-opportunities-challenges-31688" \h</w:instrText>
      </w:r>
      <w:r>
        <w:fldChar w:fldCharType="separate"/>
      </w:r>
      <w:r>
        <w:rPr>
          <w:rFonts w:ascii="inter" w:eastAsia="inter" w:hAnsi="inter" w:cs="inter"/>
          <w:sz w:val="18"/>
          <w:u w:val="single"/>
        </w:rPr>
        <w:t>https://tapchimoitruong.vn/news-13/offshore-wind-power-development-policy-in-vietnam-opportunities-challenges-31688</w:t>
      </w:r>
      <w:r>
        <w:fldChar w:fldCharType="end"/>
      </w:r>
      <w:r>
        <w:rPr>
          <w:rFonts w:ascii="inter" w:eastAsia="inter" w:hAnsi="inter" w:cs="inter"/>
          <w:color w:val="000000"/>
          <w:sz w:val="18"/>
        </w:rPr>
        <w:t xml:space="preserve">       </w:t>
      </w:r>
    </w:p>
    <w:bookmarkStart w:id="443" w:name="fn29"/>
    <w:bookmarkEnd w:id="443"/>
    <w:p w14:paraId="237FC1CC" w14:textId="77777777" w:rsidR="00CB47B0" w:rsidRDefault="00000000">
      <w:pPr>
        <w:numPr>
          <w:ilvl w:val="0"/>
          <w:numId w:val="2"/>
        </w:numPr>
        <w:spacing w:after="210" w:line="360" w:lineRule="auto"/>
      </w:pPr>
      <w:r>
        <w:fldChar w:fldCharType="begin"/>
      </w:r>
      <w:r>
        <w:instrText>HYPERLINK "https://www.gem.wiki/Vietnam_Offshore_Wind_Development" \h</w:instrText>
      </w:r>
      <w:r>
        <w:fldChar w:fldCharType="separate"/>
      </w:r>
      <w:r>
        <w:rPr>
          <w:rFonts w:ascii="inter" w:eastAsia="inter" w:hAnsi="inter" w:cs="inter"/>
          <w:sz w:val="18"/>
          <w:u w:val="single"/>
        </w:rPr>
        <w:t>https://www.gem.wiki/Vietnam_Offshore_Wind_Development</w:t>
      </w:r>
      <w:r>
        <w:fldChar w:fldCharType="end"/>
      </w:r>
      <w:r>
        <w:rPr>
          <w:rFonts w:ascii="inter" w:eastAsia="inter" w:hAnsi="inter" w:cs="inter"/>
          <w:color w:val="000000"/>
          <w:sz w:val="18"/>
        </w:rPr>
        <w:t xml:space="preserve">  </w:t>
      </w:r>
    </w:p>
    <w:bookmarkStart w:id="444" w:name="fn30"/>
    <w:bookmarkEnd w:id="444"/>
    <w:p w14:paraId="773A7F0E" w14:textId="77777777" w:rsidR="00CB47B0" w:rsidRDefault="00000000">
      <w:pPr>
        <w:numPr>
          <w:ilvl w:val="0"/>
          <w:numId w:val="2"/>
        </w:numPr>
        <w:spacing w:after="210" w:line="360" w:lineRule="auto"/>
      </w:pPr>
      <w:r>
        <w:fldChar w:fldCharType="begin"/>
      </w:r>
      <w:r>
        <w:instrText>HYPERLINK "https://www.eco-business.com/opinion/local-content-requirements-could-it-boost-renewables-in-vietnam/" \h</w:instrText>
      </w:r>
      <w:r>
        <w:fldChar w:fldCharType="separate"/>
      </w:r>
      <w:r>
        <w:rPr>
          <w:rFonts w:ascii="inter" w:eastAsia="inter" w:hAnsi="inter" w:cs="inter"/>
          <w:sz w:val="18"/>
          <w:u w:val="single"/>
        </w:rPr>
        <w:t>https://www.eco-business.com/opinion/local-content-requirements-could-it-boost-renewables-in-vietnam/</w:t>
      </w:r>
      <w:r>
        <w:fldChar w:fldCharType="end"/>
      </w:r>
      <w:r>
        <w:rPr>
          <w:rFonts w:ascii="inter" w:eastAsia="inter" w:hAnsi="inter" w:cs="inter"/>
          <w:color w:val="000000"/>
          <w:sz w:val="18"/>
        </w:rPr>
        <w:t xml:space="preserve">        </w:t>
      </w:r>
    </w:p>
    <w:bookmarkStart w:id="445" w:name="fn31"/>
    <w:bookmarkEnd w:id="445"/>
    <w:p w14:paraId="1A293506" w14:textId="77777777" w:rsidR="00CB47B0" w:rsidRDefault="00000000">
      <w:pPr>
        <w:numPr>
          <w:ilvl w:val="0"/>
          <w:numId w:val="2"/>
        </w:numPr>
        <w:spacing w:after="210" w:line="360" w:lineRule="auto"/>
      </w:pPr>
      <w:r>
        <w:fldChar w:fldCharType="begin"/>
      </w:r>
      <w:r>
        <w:instrText>HYPERLINK "https://www.scottish-enterprise.com/insights-and-events/research-evaluation-and-insight/2018/scotland-s-international-competitiveness-and-benchmarking-in-subsea-engineering-study-report" \h</w:instrText>
      </w:r>
      <w:r>
        <w:fldChar w:fldCharType="separate"/>
      </w:r>
      <w:r>
        <w:rPr>
          <w:rFonts w:ascii="inter" w:eastAsia="inter" w:hAnsi="inter" w:cs="inter"/>
          <w:sz w:val="18"/>
          <w:u w:val="single"/>
        </w:rPr>
        <w:t>https://www.scottish-enterprise.com/insights-and-events/research-evaluation-and-insight/2018/scotland-s-international-competitiveness-and-benchmarking-in-subsea-engineering-study-report</w:t>
      </w:r>
      <w:r>
        <w:fldChar w:fldCharType="end"/>
      </w:r>
      <w:r>
        <w:rPr>
          <w:rFonts w:ascii="inter" w:eastAsia="inter" w:hAnsi="inter" w:cs="inter"/>
          <w:color w:val="000000"/>
          <w:sz w:val="18"/>
        </w:rPr>
        <w:t xml:space="preserve">               </w:t>
      </w:r>
    </w:p>
    <w:bookmarkStart w:id="446" w:name="fn32"/>
    <w:bookmarkEnd w:id="446"/>
    <w:p w14:paraId="39E3E140" w14:textId="77777777" w:rsidR="00CB47B0" w:rsidRDefault="00000000">
      <w:pPr>
        <w:numPr>
          <w:ilvl w:val="0"/>
          <w:numId w:val="2"/>
        </w:numPr>
        <w:spacing w:after="210" w:line="360" w:lineRule="auto"/>
      </w:pPr>
      <w:r>
        <w:fldChar w:fldCharType="begin"/>
      </w:r>
      <w:r>
        <w:instrText>HYPERLINK "https://www.scottish-enterprise.com/media/0crflj0q/scotland-s-international-competitiveness-and-benchmarking-in-subsea-engineering-study-report.pdf" \h</w:instrText>
      </w:r>
      <w:r>
        <w:fldChar w:fldCharType="separate"/>
      </w:r>
      <w:r>
        <w:rPr>
          <w:rFonts w:ascii="inter" w:eastAsia="inter" w:hAnsi="inter" w:cs="inter"/>
          <w:sz w:val="18"/>
          <w:u w:val="single"/>
        </w:rPr>
        <w:t>https://www.scottish-enterprise.com/media/0crflj0q/scotland-s-international-competitiveness-and-benchmarking-in-subsea-engineering-study-report.pdf</w:t>
      </w:r>
      <w:r>
        <w:fldChar w:fldCharType="end"/>
      </w:r>
      <w:r>
        <w:rPr>
          <w:rFonts w:ascii="inter" w:eastAsia="inter" w:hAnsi="inter" w:cs="inter"/>
          <w:color w:val="000000"/>
          <w:sz w:val="18"/>
        </w:rPr>
        <w:t xml:space="preserve">                    </w:t>
      </w:r>
    </w:p>
    <w:bookmarkStart w:id="447" w:name="fn33"/>
    <w:bookmarkEnd w:id="447"/>
    <w:p w14:paraId="76452552" w14:textId="77777777" w:rsidR="00CB47B0" w:rsidRDefault="00000000">
      <w:pPr>
        <w:numPr>
          <w:ilvl w:val="0"/>
          <w:numId w:val="2"/>
        </w:numPr>
        <w:spacing w:after="210" w:line="360" w:lineRule="auto"/>
      </w:pPr>
      <w:r>
        <w:fldChar w:fldCharType="begin"/>
      </w:r>
      <w:r>
        <w:instrText>HYPERLINK "https://investaberdeen.co.uk/uploads/North%20East%20Scotland%20Offshore%20Wind.pdf" \h</w:instrText>
      </w:r>
      <w:r>
        <w:fldChar w:fldCharType="separate"/>
      </w:r>
      <w:r>
        <w:rPr>
          <w:rFonts w:ascii="inter" w:eastAsia="inter" w:hAnsi="inter" w:cs="inter"/>
          <w:sz w:val="18"/>
          <w:u w:val="single"/>
        </w:rPr>
        <w:t>https://investaberdeen.co.uk/uploads/North East Scotland Offshore Wind.pdf</w:t>
      </w:r>
      <w:r>
        <w:fldChar w:fldCharType="end"/>
      </w:r>
      <w:r>
        <w:rPr>
          <w:rFonts w:ascii="inter" w:eastAsia="inter" w:hAnsi="inter" w:cs="inter"/>
          <w:color w:val="000000"/>
          <w:sz w:val="18"/>
        </w:rPr>
        <w:t xml:space="preserve">                  </w:t>
      </w:r>
    </w:p>
    <w:bookmarkStart w:id="448" w:name="fn34"/>
    <w:bookmarkEnd w:id="448"/>
    <w:p w14:paraId="55B5A928" w14:textId="77777777" w:rsidR="00CB47B0" w:rsidRDefault="00000000">
      <w:pPr>
        <w:numPr>
          <w:ilvl w:val="0"/>
          <w:numId w:val="2"/>
        </w:numPr>
        <w:spacing w:after="210" w:line="360" w:lineRule="auto"/>
      </w:pPr>
      <w:r>
        <w:fldChar w:fldCharType="begin"/>
      </w:r>
      <w:r>
        <w:instrText>HYPERLINK "https://www.sdi.co.uk/buy-from-scotland/energy-and-low-carbon-companies/oil-and-gas-decommissioning-companies" \h</w:instrText>
      </w:r>
      <w:r>
        <w:fldChar w:fldCharType="separate"/>
      </w:r>
      <w:r>
        <w:rPr>
          <w:rFonts w:ascii="inter" w:eastAsia="inter" w:hAnsi="inter" w:cs="inter"/>
          <w:sz w:val="18"/>
          <w:u w:val="single"/>
        </w:rPr>
        <w:t>https://www.sdi.co.uk/buy-from-scotland/energy-and-low-carbon-companies/oil-and-gas-decommissioning-companies</w:t>
      </w:r>
      <w:r>
        <w:fldChar w:fldCharType="end"/>
      </w:r>
      <w:r>
        <w:rPr>
          <w:rFonts w:ascii="inter" w:eastAsia="inter" w:hAnsi="inter" w:cs="inter"/>
          <w:color w:val="000000"/>
          <w:sz w:val="18"/>
        </w:rPr>
        <w:t xml:space="preserve">        </w:t>
      </w:r>
    </w:p>
    <w:bookmarkStart w:id="449" w:name="fn35"/>
    <w:bookmarkEnd w:id="449"/>
    <w:p w14:paraId="352752CD" w14:textId="77777777" w:rsidR="00CB47B0" w:rsidRDefault="00000000">
      <w:pPr>
        <w:numPr>
          <w:ilvl w:val="0"/>
          <w:numId w:val="2"/>
        </w:numPr>
        <w:spacing w:after="210" w:line="360" w:lineRule="auto"/>
      </w:pPr>
      <w:r>
        <w:fldChar w:fldCharType="begin"/>
      </w:r>
      <w:r>
        <w:instrText>HYPERLINK "https://maritime-executive.com/article/fire-on-offshore-oil-platform-at-vietnam-s-first-decommissioning-project" \h</w:instrText>
      </w:r>
      <w:r>
        <w:fldChar w:fldCharType="separate"/>
      </w:r>
      <w:r>
        <w:rPr>
          <w:rFonts w:ascii="inter" w:eastAsia="inter" w:hAnsi="inter" w:cs="inter"/>
          <w:sz w:val="18"/>
          <w:u w:val="single"/>
        </w:rPr>
        <w:t>https://maritime-executive.com/article/fire-on-offshore-oil-platform-at-vietnam-s-first-decommissioning-project</w:t>
      </w:r>
      <w:r>
        <w:fldChar w:fldCharType="end"/>
      </w:r>
      <w:r>
        <w:rPr>
          <w:rFonts w:ascii="inter" w:eastAsia="inter" w:hAnsi="inter" w:cs="inter"/>
          <w:color w:val="000000"/>
          <w:sz w:val="18"/>
        </w:rPr>
        <w:t xml:space="preserve">      </w:t>
      </w:r>
    </w:p>
    <w:bookmarkStart w:id="450" w:name="fn36"/>
    <w:bookmarkEnd w:id="450"/>
    <w:p w14:paraId="40A05232" w14:textId="77777777" w:rsidR="00CB47B0" w:rsidRDefault="00000000">
      <w:pPr>
        <w:numPr>
          <w:ilvl w:val="0"/>
          <w:numId w:val="2"/>
        </w:numPr>
        <w:spacing w:after="210" w:line="360" w:lineRule="auto"/>
      </w:pPr>
      <w:r>
        <w:fldChar w:fldCharType="begin"/>
      </w:r>
      <w:r>
        <w:instrText>HYPERLINK "https://www.rhi-group.com/project-services/projects/gas-fields-decommissioning-project,-vietnam" \h</w:instrText>
      </w:r>
      <w:r>
        <w:fldChar w:fldCharType="separate"/>
      </w:r>
      <w:r>
        <w:rPr>
          <w:rFonts w:ascii="inter" w:eastAsia="inter" w:hAnsi="inter" w:cs="inter"/>
          <w:sz w:val="18"/>
          <w:u w:val="single"/>
        </w:rPr>
        <w:t>https://www.rhi-group.com/project-services/projects/gas-fields-decommissioning-project,-vietnam</w:t>
      </w:r>
      <w:r>
        <w:fldChar w:fldCharType="end"/>
      </w:r>
      <w:r>
        <w:rPr>
          <w:rFonts w:ascii="inter" w:eastAsia="inter" w:hAnsi="inter" w:cs="inter"/>
          <w:color w:val="000000"/>
          <w:sz w:val="18"/>
        </w:rPr>
        <w:t xml:space="preserve">     </w:t>
      </w:r>
    </w:p>
    <w:bookmarkStart w:id="451" w:name="fn37"/>
    <w:bookmarkEnd w:id="451"/>
    <w:p w14:paraId="617E2C31" w14:textId="77777777" w:rsidR="00CB47B0" w:rsidRDefault="00000000">
      <w:pPr>
        <w:numPr>
          <w:ilvl w:val="0"/>
          <w:numId w:val="2"/>
        </w:numPr>
        <w:spacing w:after="210" w:line="360" w:lineRule="auto"/>
      </w:pPr>
      <w:r>
        <w:fldChar w:fldCharType="begin"/>
      </w:r>
      <w:r>
        <w:instrText>HYPERLINK "https://evidencehub.northeast-ca.gov.uk/downloads/588/north-east-offshore-wind-supply-chain-final-report-april-2020.pdf" \h</w:instrText>
      </w:r>
      <w:r>
        <w:fldChar w:fldCharType="separate"/>
      </w:r>
      <w:r>
        <w:rPr>
          <w:rFonts w:ascii="inter" w:eastAsia="inter" w:hAnsi="inter" w:cs="inter"/>
          <w:sz w:val="18"/>
          <w:u w:val="single"/>
        </w:rPr>
        <w:t>https://evidencehub.northeast-ca.gov.uk/downloads/588/north-east-offshore-wind-supply-chain-final-report-april-2020.pdf</w:t>
      </w:r>
      <w:r>
        <w:fldChar w:fldCharType="end"/>
      </w:r>
      <w:r>
        <w:rPr>
          <w:rFonts w:ascii="inter" w:eastAsia="inter" w:hAnsi="inter" w:cs="inter"/>
          <w:color w:val="000000"/>
          <w:sz w:val="18"/>
        </w:rPr>
        <w:t xml:space="preserve">   </w:t>
      </w:r>
    </w:p>
    <w:bookmarkStart w:id="452" w:name="fn38"/>
    <w:bookmarkEnd w:id="452"/>
    <w:p w14:paraId="40724072" w14:textId="77777777" w:rsidR="00CB47B0" w:rsidRDefault="00000000">
      <w:pPr>
        <w:numPr>
          <w:ilvl w:val="0"/>
          <w:numId w:val="2"/>
        </w:numPr>
        <w:spacing w:after="210" w:line="360" w:lineRule="auto"/>
      </w:pPr>
      <w:r>
        <w:fldChar w:fldCharType="begin"/>
      </w:r>
      <w:r>
        <w:instrText>HYPERLINK "https://ore.catapult.org.uk/media-centre/press-releases/a-dozen-north-east-businesses-chosen-for-award-winning-offshore-renewables-supply-chain-programme" \h</w:instrText>
      </w:r>
      <w:r>
        <w:fldChar w:fldCharType="separate"/>
      </w:r>
      <w:r>
        <w:rPr>
          <w:rFonts w:ascii="inter" w:eastAsia="inter" w:hAnsi="inter" w:cs="inter"/>
          <w:sz w:val="18"/>
          <w:u w:val="single"/>
        </w:rPr>
        <w:t>https://ore.catapult.org.uk/media-centre/press-releases/a-dozen-north-east-businesses-chosen-for-award-winning-offshore-renewables-supply-chain-programme</w:t>
      </w:r>
      <w:r>
        <w:fldChar w:fldCharType="end"/>
      </w:r>
      <w:r>
        <w:rPr>
          <w:rFonts w:ascii="inter" w:eastAsia="inter" w:hAnsi="inter" w:cs="inter"/>
          <w:color w:val="000000"/>
          <w:sz w:val="18"/>
        </w:rPr>
        <w:t xml:space="preserve">               </w:t>
      </w:r>
    </w:p>
    <w:bookmarkStart w:id="453" w:name="fn39"/>
    <w:bookmarkEnd w:id="453"/>
    <w:p w14:paraId="7A1F3DC9" w14:textId="77777777" w:rsidR="00CB47B0" w:rsidRDefault="00000000">
      <w:pPr>
        <w:numPr>
          <w:ilvl w:val="0"/>
          <w:numId w:val="2"/>
        </w:numPr>
        <w:spacing w:after="210" w:line="360" w:lineRule="auto"/>
      </w:pPr>
      <w:r>
        <w:fldChar w:fldCharType="begin"/>
      </w:r>
      <w:r>
        <w:instrText>HYPERLINK "https://oceanology.hcmus.edu.vn/en/vietnams-marine-energy-potential-and-global-breakthrough-technologies/" \h</w:instrText>
      </w:r>
      <w:r>
        <w:fldChar w:fldCharType="separate"/>
      </w:r>
      <w:r>
        <w:rPr>
          <w:rFonts w:ascii="inter" w:eastAsia="inter" w:hAnsi="inter" w:cs="inter"/>
          <w:sz w:val="18"/>
          <w:u w:val="single"/>
        </w:rPr>
        <w:t>https://oceanology.hcmus.edu.vn/en/vietnams-marine-energy-potential-and-global-breakthrough-technologies/</w:t>
      </w:r>
      <w:r>
        <w:fldChar w:fldCharType="end"/>
      </w:r>
      <w:r>
        <w:rPr>
          <w:rFonts w:ascii="inter" w:eastAsia="inter" w:hAnsi="inter" w:cs="inter"/>
          <w:color w:val="000000"/>
          <w:sz w:val="18"/>
        </w:rPr>
        <w:t xml:space="preserve">    </w:t>
      </w:r>
    </w:p>
    <w:bookmarkStart w:id="454" w:name="fn40"/>
    <w:bookmarkEnd w:id="454"/>
    <w:p w14:paraId="1B924933" w14:textId="77777777" w:rsidR="00CB47B0" w:rsidRDefault="00000000">
      <w:pPr>
        <w:numPr>
          <w:ilvl w:val="0"/>
          <w:numId w:val="2"/>
        </w:numPr>
        <w:spacing w:after="210" w:line="360" w:lineRule="auto"/>
      </w:pPr>
      <w:r>
        <w:fldChar w:fldCharType="begin"/>
      </w:r>
      <w:r>
        <w:instrText>HYPERLINK "https://www.laganoffshorewind.vn" \h</w:instrText>
      </w:r>
      <w:r>
        <w:fldChar w:fldCharType="separate"/>
      </w:r>
      <w:r>
        <w:rPr>
          <w:rFonts w:ascii="inter" w:eastAsia="inter" w:hAnsi="inter" w:cs="inter"/>
          <w:sz w:val="18"/>
          <w:u w:val="single"/>
        </w:rPr>
        <w:t>https://www.laganoffshorewind.vn</w:t>
      </w:r>
      <w:r>
        <w:fldChar w:fldCharType="end"/>
      </w:r>
      <w:r>
        <w:rPr>
          <w:rFonts w:ascii="inter" w:eastAsia="inter" w:hAnsi="inter" w:cs="inter"/>
          <w:color w:val="000000"/>
          <w:sz w:val="18"/>
        </w:rPr>
        <w:t xml:space="preserve">    </w:t>
      </w:r>
    </w:p>
    <w:bookmarkStart w:id="455" w:name="fn41"/>
    <w:bookmarkEnd w:id="455"/>
    <w:p w14:paraId="560EE2B2" w14:textId="77777777" w:rsidR="00CB47B0" w:rsidRDefault="00000000">
      <w:pPr>
        <w:numPr>
          <w:ilvl w:val="0"/>
          <w:numId w:val="2"/>
        </w:numPr>
        <w:spacing w:after="210" w:line="360" w:lineRule="auto"/>
      </w:pPr>
      <w:r>
        <w:fldChar w:fldCharType="begin"/>
      </w:r>
      <w:r>
        <w:instrText>HYPERLINK "https://www.power-technology.com/data-insights/top-5-offshore-wind-power-plants-in-development-in-vietnam/" \h</w:instrText>
      </w:r>
      <w:r>
        <w:fldChar w:fldCharType="separate"/>
      </w:r>
      <w:r>
        <w:rPr>
          <w:rFonts w:ascii="inter" w:eastAsia="inter" w:hAnsi="inter" w:cs="inter"/>
          <w:sz w:val="18"/>
          <w:u w:val="single"/>
        </w:rPr>
        <w:t>https://www.power-technology.com/data-insights/top-5-offshore-wind-power-plants-in-development-in-vietnam/</w:t>
      </w:r>
      <w:r>
        <w:fldChar w:fldCharType="end"/>
      </w:r>
      <w:r>
        <w:rPr>
          <w:rFonts w:ascii="inter" w:eastAsia="inter" w:hAnsi="inter" w:cs="inter"/>
          <w:color w:val="000000"/>
          <w:sz w:val="18"/>
        </w:rPr>
        <w:t xml:space="preserve">  </w:t>
      </w:r>
    </w:p>
    <w:bookmarkStart w:id="456" w:name="fn42"/>
    <w:bookmarkEnd w:id="456"/>
    <w:p w14:paraId="141BB736" w14:textId="77777777" w:rsidR="00CB47B0" w:rsidRDefault="00000000">
      <w:pPr>
        <w:numPr>
          <w:ilvl w:val="0"/>
          <w:numId w:val="2"/>
        </w:numPr>
        <w:spacing w:after="210" w:line="360" w:lineRule="auto"/>
      </w:pPr>
      <w:r>
        <w:fldChar w:fldCharType="begin"/>
      </w:r>
      <w:r>
        <w:instrText>HYPERLINK "https://www.mayerbrown.com/-/media/files/perspectives-events/publications/2022/09/offshore-wind-in-vietnam--harnessing-the-countrys-potential.pdf" \h</w:instrText>
      </w:r>
      <w:r>
        <w:fldChar w:fldCharType="separate"/>
      </w:r>
      <w:r>
        <w:rPr>
          <w:rFonts w:ascii="inter" w:eastAsia="inter" w:hAnsi="inter" w:cs="inter"/>
          <w:sz w:val="18"/>
          <w:u w:val="single"/>
        </w:rPr>
        <w:t>https://www.mayerbrown.com/-/media/files/perspectives-events/publications/2022/09/offshore-wind-in-vietnam--harnessing-the-countrys-potential.pdf</w:t>
      </w:r>
      <w:r>
        <w:fldChar w:fldCharType="end"/>
      </w:r>
      <w:r>
        <w:rPr>
          <w:rFonts w:ascii="inter" w:eastAsia="inter" w:hAnsi="inter" w:cs="inter"/>
          <w:color w:val="000000"/>
          <w:sz w:val="18"/>
        </w:rPr>
        <w:t xml:space="preserve">       </w:t>
      </w:r>
    </w:p>
    <w:bookmarkStart w:id="457" w:name="fn43"/>
    <w:bookmarkEnd w:id="457"/>
    <w:p w14:paraId="06503F5A" w14:textId="77777777" w:rsidR="00CB47B0" w:rsidRDefault="00000000">
      <w:pPr>
        <w:numPr>
          <w:ilvl w:val="0"/>
          <w:numId w:val="2"/>
        </w:numPr>
        <w:spacing w:after="210" w:line="360" w:lineRule="auto"/>
      </w:pPr>
      <w:r>
        <w:fldChar w:fldCharType="begin"/>
      </w:r>
      <w:r>
        <w:instrText>HYPERLINK "https://www.reccessary.com/en/news/can-gio-wind-power-could-support-ho-chi-minh-city-achieving-net-zero" \h</w:instrText>
      </w:r>
      <w:r>
        <w:fldChar w:fldCharType="separate"/>
      </w:r>
      <w:r>
        <w:rPr>
          <w:rFonts w:ascii="inter" w:eastAsia="inter" w:hAnsi="inter" w:cs="inter"/>
          <w:sz w:val="18"/>
          <w:u w:val="single"/>
        </w:rPr>
        <w:t>https://www.reccessary.com/en/news/can-gio-wind-power-could-support-ho-chi-minh-city-achieving-net-zero</w:t>
      </w:r>
      <w:r>
        <w:fldChar w:fldCharType="end"/>
      </w:r>
      <w:r>
        <w:rPr>
          <w:rFonts w:ascii="inter" w:eastAsia="inter" w:hAnsi="inter" w:cs="inter"/>
          <w:color w:val="000000"/>
          <w:sz w:val="18"/>
        </w:rPr>
        <w:t xml:space="preserve">      </w:t>
      </w:r>
    </w:p>
    <w:bookmarkStart w:id="458" w:name="fn44"/>
    <w:bookmarkEnd w:id="458"/>
    <w:p w14:paraId="4F9B2407" w14:textId="77777777" w:rsidR="00CB47B0" w:rsidRDefault="00000000">
      <w:pPr>
        <w:numPr>
          <w:ilvl w:val="0"/>
          <w:numId w:val="2"/>
        </w:numPr>
        <w:spacing w:after="210" w:line="360" w:lineRule="auto"/>
      </w:pPr>
      <w:r>
        <w:fldChar w:fldCharType="begin"/>
      </w:r>
      <w:r>
        <w:instrText>HYPERLINK "https://theinvestor.vn/us-firm-black-veatch-to-study-carbon-capture-feasibility-at-vietnam-coal-fired-power-plants-d12089.html" \h</w:instrText>
      </w:r>
      <w:r>
        <w:fldChar w:fldCharType="separate"/>
      </w:r>
      <w:r>
        <w:rPr>
          <w:rFonts w:ascii="inter" w:eastAsia="inter" w:hAnsi="inter" w:cs="inter"/>
          <w:sz w:val="18"/>
          <w:u w:val="single"/>
        </w:rPr>
        <w:t>https://theinvestor.vn/us-firm-black-veatch-to-study-carbon-capture-feasibility-at-vietnam-coal-fired-power-plants-d12089.html</w:t>
      </w:r>
      <w:r>
        <w:fldChar w:fldCharType="end"/>
      </w:r>
      <w:r>
        <w:rPr>
          <w:rFonts w:ascii="inter" w:eastAsia="inter" w:hAnsi="inter" w:cs="inter"/>
          <w:color w:val="000000"/>
          <w:sz w:val="18"/>
        </w:rPr>
        <w:t xml:space="preserve">       </w:t>
      </w:r>
    </w:p>
    <w:bookmarkStart w:id="459" w:name="fn45"/>
    <w:bookmarkEnd w:id="459"/>
    <w:p w14:paraId="0DC21390" w14:textId="77777777" w:rsidR="00CB47B0" w:rsidRDefault="00000000">
      <w:pPr>
        <w:numPr>
          <w:ilvl w:val="0"/>
          <w:numId w:val="2"/>
        </w:numPr>
        <w:spacing w:after="210" w:line="360" w:lineRule="auto"/>
      </w:pPr>
      <w:r>
        <w:fldChar w:fldCharType="begin"/>
      </w:r>
      <w:r>
        <w:instrText>HYPERLINK "https://www.reccessary.com/en/news/vietnam-experiments-on-carbon-capture-and-storage" \h</w:instrText>
      </w:r>
      <w:r>
        <w:fldChar w:fldCharType="separate"/>
      </w:r>
      <w:r>
        <w:rPr>
          <w:rFonts w:ascii="inter" w:eastAsia="inter" w:hAnsi="inter" w:cs="inter"/>
          <w:sz w:val="18"/>
          <w:u w:val="single"/>
        </w:rPr>
        <w:t>https://www.reccessary.com/en/news/vietnam-experiments-on-carbon-capture-and-storage</w:t>
      </w:r>
      <w:r>
        <w:fldChar w:fldCharType="end"/>
      </w:r>
      <w:r>
        <w:rPr>
          <w:rFonts w:ascii="inter" w:eastAsia="inter" w:hAnsi="inter" w:cs="inter"/>
          <w:color w:val="000000"/>
          <w:sz w:val="18"/>
        </w:rPr>
        <w:t xml:space="preserve"> </w:t>
      </w:r>
    </w:p>
    <w:bookmarkStart w:id="460" w:name="fn46"/>
    <w:bookmarkEnd w:id="460"/>
    <w:p w14:paraId="697527D1" w14:textId="77777777" w:rsidR="00CB47B0" w:rsidRDefault="00000000">
      <w:pPr>
        <w:numPr>
          <w:ilvl w:val="0"/>
          <w:numId w:val="2"/>
        </w:numPr>
        <w:spacing w:after="210" w:line="360" w:lineRule="auto"/>
      </w:pPr>
      <w:r>
        <w:fldChar w:fldCharType="begin"/>
      </w:r>
      <w:r>
        <w:instrText>HYPERLINK "https://www.afgruppen.com/selskaper/Decommissioning/" \h</w:instrText>
      </w:r>
      <w:r>
        <w:fldChar w:fldCharType="separate"/>
      </w:r>
      <w:r>
        <w:rPr>
          <w:rFonts w:ascii="inter" w:eastAsia="inter" w:hAnsi="inter" w:cs="inter"/>
          <w:sz w:val="18"/>
          <w:u w:val="single"/>
        </w:rPr>
        <w:t>https://www.afgruppen.com/selskaper/Decommissioning/</w:t>
      </w:r>
      <w:r>
        <w:fldChar w:fldCharType="end"/>
      </w:r>
      <w:r>
        <w:rPr>
          <w:rFonts w:ascii="inter" w:eastAsia="inter" w:hAnsi="inter" w:cs="inter"/>
          <w:color w:val="000000"/>
          <w:sz w:val="18"/>
        </w:rPr>
        <w:t xml:space="preserve">   </w:t>
      </w:r>
    </w:p>
    <w:bookmarkStart w:id="461" w:name="fn47"/>
    <w:bookmarkEnd w:id="461"/>
    <w:p w14:paraId="4E857915" w14:textId="77777777" w:rsidR="00CB47B0" w:rsidRDefault="00000000">
      <w:pPr>
        <w:numPr>
          <w:ilvl w:val="0"/>
          <w:numId w:val="2"/>
        </w:numPr>
        <w:spacing w:after="210" w:line="360" w:lineRule="auto"/>
      </w:pPr>
      <w:r>
        <w:fldChar w:fldCharType="begin"/>
      </w:r>
      <w:r>
        <w:instrText>HYPERLINK "https://globalreferral.group/powering-the-future-vietnams-solar-industry-growth-trends-and-projections/" \h</w:instrText>
      </w:r>
      <w:r>
        <w:fldChar w:fldCharType="separate"/>
      </w:r>
      <w:r>
        <w:rPr>
          <w:rFonts w:ascii="inter" w:eastAsia="inter" w:hAnsi="inter" w:cs="inter"/>
          <w:sz w:val="18"/>
          <w:u w:val="single"/>
        </w:rPr>
        <w:t>https://globalreferral.group/powering-the-future-vietnams-solar-industry-growth-trends-and-projections/</w:t>
      </w:r>
      <w:r>
        <w:fldChar w:fldCharType="end"/>
      </w:r>
      <w:r>
        <w:rPr>
          <w:rFonts w:ascii="inter" w:eastAsia="inter" w:hAnsi="inter" w:cs="inter"/>
          <w:color w:val="000000"/>
          <w:sz w:val="18"/>
        </w:rPr>
        <w:t xml:space="preserve"> </w:t>
      </w:r>
    </w:p>
    <w:bookmarkStart w:id="462" w:name="fn48"/>
    <w:bookmarkEnd w:id="462"/>
    <w:p w14:paraId="7182F3A4" w14:textId="77777777" w:rsidR="00CB47B0" w:rsidRDefault="00000000">
      <w:pPr>
        <w:numPr>
          <w:ilvl w:val="0"/>
          <w:numId w:val="2"/>
        </w:numPr>
        <w:spacing w:after="210" w:line="360" w:lineRule="auto"/>
      </w:pPr>
      <w:r>
        <w:fldChar w:fldCharType="begin"/>
      </w:r>
      <w:r>
        <w:instrText>HYPERLINK "https://orcadesmarine.co.uk/marine-renewable-energy-in-ho-chi-minh-city-vietnam/" \h</w:instrText>
      </w:r>
      <w:r>
        <w:fldChar w:fldCharType="separate"/>
      </w:r>
      <w:r>
        <w:rPr>
          <w:rFonts w:ascii="inter" w:eastAsia="inter" w:hAnsi="inter" w:cs="inter"/>
          <w:sz w:val="18"/>
          <w:u w:val="single"/>
        </w:rPr>
        <w:t>https://orcadesmarine.co.uk/marine-renewable-energy-in-ho-chi-minh-city-vietnam/</w:t>
      </w:r>
      <w:r>
        <w:fldChar w:fldCharType="end"/>
      </w:r>
      <w:r>
        <w:rPr>
          <w:rFonts w:ascii="inter" w:eastAsia="inter" w:hAnsi="inter" w:cs="inter"/>
          <w:color w:val="000000"/>
          <w:sz w:val="18"/>
        </w:rPr>
        <w:t xml:space="preserve">  </w:t>
      </w:r>
    </w:p>
    <w:bookmarkStart w:id="463" w:name="fn49"/>
    <w:bookmarkEnd w:id="463"/>
    <w:p w14:paraId="47C9D2B0" w14:textId="77777777" w:rsidR="00CB47B0" w:rsidRDefault="00000000">
      <w:pPr>
        <w:numPr>
          <w:ilvl w:val="0"/>
          <w:numId w:val="2"/>
        </w:numPr>
        <w:spacing w:after="210" w:line="360" w:lineRule="auto"/>
      </w:pPr>
      <w:r>
        <w:fldChar w:fldCharType="begin"/>
      </w:r>
      <w:r>
        <w:instrText>HYPERLINK "https://www.pwc.com/vn/en/publications/2024/energy-transition-in-vietnam.pdf" \h</w:instrText>
      </w:r>
      <w:r>
        <w:fldChar w:fldCharType="separate"/>
      </w:r>
      <w:r>
        <w:rPr>
          <w:rFonts w:ascii="inter" w:eastAsia="inter" w:hAnsi="inter" w:cs="inter"/>
          <w:sz w:val="18"/>
          <w:u w:val="single"/>
        </w:rPr>
        <w:t>https://www.pwc.com/vn/en/publications/2024/energy-transition-in-vietnam.pdf</w:t>
      </w:r>
      <w:r>
        <w:fldChar w:fldCharType="end"/>
      </w:r>
      <w:r>
        <w:rPr>
          <w:rFonts w:ascii="inter" w:eastAsia="inter" w:hAnsi="inter" w:cs="inter"/>
          <w:color w:val="000000"/>
          <w:sz w:val="18"/>
        </w:rPr>
        <w:t xml:space="preserve"> </w:t>
      </w:r>
    </w:p>
    <w:bookmarkStart w:id="464" w:name="fn50"/>
    <w:bookmarkEnd w:id="464"/>
    <w:p w14:paraId="24A48A5F" w14:textId="77777777" w:rsidR="00CB47B0" w:rsidRDefault="00000000">
      <w:pPr>
        <w:numPr>
          <w:ilvl w:val="0"/>
          <w:numId w:val="2"/>
        </w:numPr>
        <w:spacing w:after="210" w:line="360" w:lineRule="auto"/>
      </w:pPr>
      <w:r>
        <w:fldChar w:fldCharType="begin"/>
      </w:r>
      <w:r>
        <w:instrText>HYPERLINK "https://www.enterprizeenergy.com/projects/thang-long-offshore" \h</w:instrText>
      </w:r>
      <w:r>
        <w:fldChar w:fldCharType="separate"/>
      </w:r>
      <w:r>
        <w:rPr>
          <w:rFonts w:ascii="inter" w:eastAsia="inter" w:hAnsi="inter" w:cs="inter"/>
          <w:sz w:val="18"/>
          <w:u w:val="single"/>
        </w:rPr>
        <w:t>https://www.enterprizeenergy.com/projects/thang-long-offshore</w:t>
      </w:r>
      <w:r>
        <w:fldChar w:fldCharType="end"/>
      </w:r>
      <w:r>
        <w:rPr>
          <w:rFonts w:ascii="inter" w:eastAsia="inter" w:hAnsi="inter" w:cs="inter"/>
          <w:color w:val="000000"/>
          <w:sz w:val="18"/>
        </w:rPr>
        <w:t xml:space="preserve">    </w:t>
      </w:r>
    </w:p>
    <w:bookmarkStart w:id="465" w:name="fn51"/>
    <w:bookmarkEnd w:id="465"/>
    <w:p w14:paraId="575D2F95" w14:textId="77777777" w:rsidR="00CB47B0" w:rsidRDefault="00000000">
      <w:pPr>
        <w:numPr>
          <w:ilvl w:val="0"/>
          <w:numId w:val="2"/>
        </w:numPr>
        <w:spacing w:after="210" w:line="360" w:lineRule="auto"/>
      </w:pPr>
      <w:r>
        <w:fldChar w:fldCharType="begin"/>
      </w:r>
      <w:r>
        <w:instrText>HYPERLINK "https://www.gem.wiki/La_G%C3%A0n_offshore_wind_farm" \h</w:instrText>
      </w:r>
      <w:r>
        <w:fldChar w:fldCharType="separate"/>
      </w:r>
      <w:r>
        <w:rPr>
          <w:rFonts w:ascii="inter" w:eastAsia="inter" w:hAnsi="inter" w:cs="inter"/>
          <w:sz w:val="18"/>
          <w:u w:val="single"/>
        </w:rPr>
        <w:t>https://www.gem.wiki/La_Gàn_offshore_wind_farm</w:t>
      </w:r>
      <w:r>
        <w:fldChar w:fldCharType="end"/>
      </w:r>
      <w:r>
        <w:rPr>
          <w:rFonts w:ascii="inter" w:eastAsia="inter" w:hAnsi="inter" w:cs="inter"/>
          <w:color w:val="000000"/>
          <w:sz w:val="18"/>
        </w:rPr>
        <w:t xml:space="preserve"> </w:t>
      </w:r>
    </w:p>
    <w:bookmarkStart w:id="466" w:name="fn52"/>
    <w:bookmarkEnd w:id="466"/>
    <w:p w14:paraId="2CF75580" w14:textId="77777777" w:rsidR="00CB47B0" w:rsidRDefault="00000000">
      <w:pPr>
        <w:numPr>
          <w:ilvl w:val="0"/>
          <w:numId w:val="2"/>
        </w:numPr>
        <w:spacing w:after="210" w:line="360" w:lineRule="auto"/>
      </w:pPr>
      <w:r>
        <w:fldChar w:fldCharType="begin"/>
      </w:r>
      <w:r>
        <w:instrText>HYPERLINK "https://www.power-technology.com/data-insights/power-plant-profile-la-gan-offshore-wind-project-vietnam/" \h</w:instrText>
      </w:r>
      <w:r>
        <w:fldChar w:fldCharType="separate"/>
      </w:r>
      <w:r>
        <w:rPr>
          <w:rFonts w:ascii="inter" w:eastAsia="inter" w:hAnsi="inter" w:cs="inter"/>
          <w:sz w:val="18"/>
          <w:u w:val="single"/>
        </w:rPr>
        <w:t>https://www.power-technology.com/data-insights/power-plant-profile-la-gan-offshore-wind-project-vietnam/</w:t>
      </w:r>
      <w:r>
        <w:fldChar w:fldCharType="end"/>
      </w:r>
      <w:r>
        <w:rPr>
          <w:rFonts w:ascii="inter" w:eastAsia="inter" w:hAnsi="inter" w:cs="inter"/>
          <w:color w:val="000000"/>
          <w:sz w:val="18"/>
        </w:rPr>
        <w:t xml:space="preserve">  </w:t>
      </w:r>
    </w:p>
    <w:bookmarkStart w:id="467" w:name="fn53"/>
    <w:bookmarkEnd w:id="467"/>
    <w:p w14:paraId="2797D855" w14:textId="77777777" w:rsidR="00CB47B0" w:rsidRDefault="00000000">
      <w:pPr>
        <w:numPr>
          <w:ilvl w:val="0"/>
          <w:numId w:val="2"/>
        </w:numPr>
        <w:spacing w:after="210" w:line="360" w:lineRule="auto"/>
      </w:pPr>
      <w:r>
        <w:fldChar w:fldCharType="begin"/>
      </w:r>
      <w:r>
        <w:instrText>HYPERLINK "https://nsrp.vn/latest-article/copenhagen-infrastructure-partners-inaugurates-its-second-offshore-wind-farm-in-asia/" \h</w:instrText>
      </w:r>
      <w:r>
        <w:fldChar w:fldCharType="separate"/>
      </w:r>
      <w:r>
        <w:rPr>
          <w:rFonts w:ascii="inter" w:eastAsia="inter" w:hAnsi="inter" w:cs="inter"/>
          <w:sz w:val="18"/>
          <w:u w:val="single"/>
        </w:rPr>
        <w:t>https://nsrp.vn/latest-article/copenhagen-infrastructure-partners-inaugurates-its-second-offshore-wind-farm-in-asia/</w:t>
      </w:r>
      <w:r>
        <w:fldChar w:fldCharType="end"/>
      </w:r>
      <w:r>
        <w:rPr>
          <w:rFonts w:ascii="inter" w:eastAsia="inter" w:hAnsi="inter" w:cs="inter"/>
          <w:color w:val="000000"/>
          <w:sz w:val="18"/>
        </w:rPr>
        <w:t xml:space="preserve">     </w:t>
      </w:r>
    </w:p>
    <w:bookmarkStart w:id="468" w:name="fn54"/>
    <w:bookmarkEnd w:id="468"/>
    <w:p w14:paraId="0752FDA3" w14:textId="77777777" w:rsidR="00CB47B0" w:rsidRDefault="00000000">
      <w:pPr>
        <w:numPr>
          <w:ilvl w:val="0"/>
          <w:numId w:val="2"/>
        </w:numPr>
        <w:spacing w:after="210" w:line="360" w:lineRule="auto"/>
      </w:pPr>
      <w:r>
        <w:fldChar w:fldCharType="begin"/>
      </w:r>
      <w:r>
        <w:instrText>HYPERLINK "https://sea.ub-speeda.com/asean-insights/trend-reports/vietnams-pdp8/" \h</w:instrText>
      </w:r>
      <w:r>
        <w:fldChar w:fldCharType="separate"/>
      </w:r>
      <w:r>
        <w:rPr>
          <w:rFonts w:ascii="inter" w:eastAsia="inter" w:hAnsi="inter" w:cs="inter"/>
          <w:sz w:val="18"/>
          <w:u w:val="single"/>
        </w:rPr>
        <w:t>https://sea.ub-speeda.com/asean-insights/trend-reports/vietnams-pdp8/</w:t>
      </w:r>
      <w:r>
        <w:fldChar w:fldCharType="end"/>
      </w:r>
      <w:r>
        <w:rPr>
          <w:rFonts w:ascii="inter" w:eastAsia="inter" w:hAnsi="inter" w:cs="inter"/>
          <w:color w:val="000000"/>
          <w:sz w:val="18"/>
        </w:rPr>
        <w:t xml:space="preserve"> </w:t>
      </w:r>
    </w:p>
    <w:bookmarkStart w:id="469" w:name="fn55"/>
    <w:bookmarkEnd w:id="469"/>
    <w:p w14:paraId="15D91801" w14:textId="77777777" w:rsidR="00CB47B0" w:rsidRDefault="00000000">
      <w:pPr>
        <w:numPr>
          <w:ilvl w:val="0"/>
          <w:numId w:val="2"/>
        </w:numPr>
        <w:spacing w:after="210" w:line="360" w:lineRule="auto"/>
      </w:pPr>
      <w:r>
        <w:fldChar w:fldCharType="begin"/>
      </w:r>
      <w:r>
        <w:instrText>HYPERLINK "https://www.reccessary.com/en/news/solar-storage-live-vietnam-day-2" \h</w:instrText>
      </w:r>
      <w:r>
        <w:fldChar w:fldCharType="separate"/>
      </w:r>
      <w:r>
        <w:rPr>
          <w:rFonts w:ascii="inter" w:eastAsia="inter" w:hAnsi="inter" w:cs="inter"/>
          <w:sz w:val="18"/>
          <w:u w:val="single"/>
        </w:rPr>
        <w:t>https://www.reccessary.com/en/news/solar-storage-live-vietnam-day-2</w:t>
      </w:r>
      <w:r>
        <w:fldChar w:fldCharType="end"/>
      </w:r>
      <w:r>
        <w:rPr>
          <w:rFonts w:ascii="inter" w:eastAsia="inter" w:hAnsi="inter" w:cs="inter"/>
          <w:color w:val="000000"/>
          <w:sz w:val="18"/>
        </w:rPr>
        <w:t xml:space="preserve">  </w:t>
      </w:r>
    </w:p>
    <w:bookmarkStart w:id="470" w:name="fn56"/>
    <w:bookmarkEnd w:id="470"/>
    <w:p w14:paraId="447AA445" w14:textId="77777777" w:rsidR="00CB47B0" w:rsidRDefault="00000000">
      <w:pPr>
        <w:numPr>
          <w:ilvl w:val="0"/>
          <w:numId w:val="2"/>
        </w:numPr>
        <w:spacing w:after="210" w:line="360" w:lineRule="auto"/>
      </w:pPr>
      <w:r>
        <w:fldChar w:fldCharType="begin"/>
      </w:r>
      <w:r>
        <w:instrText>HYPERLINK "https://www.nortonrosefulbright.com/en/knowledge/publications/71562ac3/renewable-energy-snapshot-vietnam" \h</w:instrText>
      </w:r>
      <w:r>
        <w:fldChar w:fldCharType="separate"/>
      </w:r>
      <w:r>
        <w:rPr>
          <w:rFonts w:ascii="inter" w:eastAsia="inter" w:hAnsi="inter" w:cs="inter"/>
          <w:sz w:val="18"/>
          <w:u w:val="single"/>
        </w:rPr>
        <w:t>https://www.nortonrosefulbright.com/en/knowledge/publications/71562ac3/renewable-energy-snapshot-vietnam</w:t>
      </w:r>
      <w:r>
        <w:fldChar w:fldCharType="end"/>
      </w:r>
      <w:r>
        <w:rPr>
          <w:rFonts w:ascii="inter" w:eastAsia="inter" w:hAnsi="inter" w:cs="inter"/>
          <w:color w:val="000000"/>
          <w:sz w:val="18"/>
        </w:rPr>
        <w:t xml:space="preserve"> </w:t>
      </w:r>
    </w:p>
    <w:bookmarkStart w:id="471" w:name="fn57"/>
    <w:bookmarkEnd w:id="471"/>
    <w:p w14:paraId="2FFCD6F7" w14:textId="77777777" w:rsidR="00CB47B0" w:rsidRDefault="00000000">
      <w:pPr>
        <w:numPr>
          <w:ilvl w:val="0"/>
          <w:numId w:val="2"/>
        </w:numPr>
        <w:spacing w:after="210" w:line="360" w:lineRule="auto"/>
      </w:pPr>
      <w:r>
        <w:fldChar w:fldCharType="begin"/>
      </w:r>
      <w:r>
        <w:instrText>HYPERLINK "https://www.biobased-diesel.com/post/vietnam-s-petrolimex-launches-sustainable-aviation-fuel-to-celebrate-its-70th-anniversary" \h</w:instrText>
      </w:r>
      <w:r>
        <w:fldChar w:fldCharType="separate"/>
      </w:r>
      <w:r>
        <w:rPr>
          <w:rFonts w:ascii="inter" w:eastAsia="inter" w:hAnsi="inter" w:cs="inter"/>
          <w:sz w:val="18"/>
          <w:u w:val="single"/>
        </w:rPr>
        <w:t>https://www.biobased-diesel.com/post/vietnam-s-petrolimex-launches-sustainable-aviation-fuel-to-celebrate-its-70th-anniversary</w:t>
      </w:r>
      <w:r>
        <w:fldChar w:fldCharType="end"/>
      </w:r>
      <w:r>
        <w:rPr>
          <w:rFonts w:ascii="inter" w:eastAsia="inter" w:hAnsi="inter" w:cs="inter"/>
          <w:color w:val="000000"/>
          <w:sz w:val="18"/>
        </w:rPr>
        <w:t xml:space="preserve"> </w:t>
      </w:r>
    </w:p>
    <w:bookmarkStart w:id="472" w:name="fn58"/>
    <w:bookmarkEnd w:id="472"/>
    <w:p w14:paraId="11CF8ACA" w14:textId="77777777" w:rsidR="00CB47B0" w:rsidRDefault="00000000">
      <w:pPr>
        <w:numPr>
          <w:ilvl w:val="0"/>
          <w:numId w:val="2"/>
        </w:numPr>
        <w:spacing w:after="210" w:line="360" w:lineRule="auto"/>
      </w:pPr>
      <w:r>
        <w:fldChar w:fldCharType="begin"/>
      </w:r>
      <w:r>
        <w:instrText>HYPERLINK "https://biofuels-news.com/news/vietjet-partners-with-petrolimex-to-use-saf/" \h</w:instrText>
      </w:r>
      <w:r>
        <w:fldChar w:fldCharType="separate"/>
      </w:r>
      <w:r>
        <w:rPr>
          <w:rFonts w:ascii="inter" w:eastAsia="inter" w:hAnsi="inter" w:cs="inter"/>
          <w:sz w:val="18"/>
          <w:u w:val="single"/>
        </w:rPr>
        <w:t>https://biofuels-news.com/news/vietjet-partners-with-petrolimex-to-use-saf/</w:t>
      </w:r>
      <w:r>
        <w:fldChar w:fldCharType="end"/>
      </w:r>
      <w:r>
        <w:rPr>
          <w:rFonts w:ascii="inter" w:eastAsia="inter" w:hAnsi="inter" w:cs="inter"/>
          <w:color w:val="000000"/>
          <w:sz w:val="18"/>
        </w:rPr>
        <w:t xml:space="preserve"> </w:t>
      </w:r>
    </w:p>
    <w:bookmarkStart w:id="473" w:name="fn59"/>
    <w:bookmarkEnd w:id="473"/>
    <w:p w14:paraId="620C1EAE" w14:textId="77777777" w:rsidR="00CB47B0" w:rsidRDefault="00000000">
      <w:pPr>
        <w:numPr>
          <w:ilvl w:val="0"/>
          <w:numId w:val="2"/>
        </w:numPr>
        <w:spacing w:after="210" w:line="360" w:lineRule="auto"/>
      </w:pPr>
      <w:r>
        <w:fldChar w:fldCharType="begin"/>
      </w:r>
      <w:r>
        <w:instrText>HYPERLINK "https://www.nexdigm.com/market-research/report-store/vietnam-wind-energy-market-report/" \h</w:instrText>
      </w:r>
      <w:r>
        <w:fldChar w:fldCharType="separate"/>
      </w:r>
      <w:r>
        <w:rPr>
          <w:rFonts w:ascii="inter" w:eastAsia="inter" w:hAnsi="inter" w:cs="inter"/>
          <w:sz w:val="18"/>
          <w:u w:val="single"/>
        </w:rPr>
        <w:t>https://www.nexdigm.com/market-research/report-store/vietnam-wind-energy-market-report/</w:t>
      </w:r>
      <w:r>
        <w:fldChar w:fldCharType="end"/>
      </w:r>
      <w:r>
        <w:rPr>
          <w:rFonts w:ascii="inter" w:eastAsia="inter" w:hAnsi="inter" w:cs="inter"/>
          <w:color w:val="000000"/>
          <w:sz w:val="18"/>
        </w:rPr>
        <w:t xml:space="preserve">    </w:t>
      </w:r>
    </w:p>
    <w:bookmarkStart w:id="474" w:name="fn60"/>
    <w:bookmarkEnd w:id="474"/>
    <w:p w14:paraId="0601D501" w14:textId="77777777" w:rsidR="00CB47B0" w:rsidRDefault="00000000">
      <w:pPr>
        <w:numPr>
          <w:ilvl w:val="0"/>
          <w:numId w:val="2"/>
        </w:numPr>
        <w:spacing w:after="210" w:line="360" w:lineRule="auto"/>
      </w:pPr>
      <w:r>
        <w:fldChar w:fldCharType="begin"/>
      </w:r>
      <w:r>
        <w:instrText>HYPERLINK "https://thegreensolutions.vn/tgs-group-and-nghi-son-2-power-llc-sign-mou-on-green-ammonia" \h</w:instrText>
      </w:r>
      <w:r>
        <w:fldChar w:fldCharType="separate"/>
      </w:r>
      <w:r>
        <w:rPr>
          <w:rFonts w:ascii="inter" w:eastAsia="inter" w:hAnsi="inter" w:cs="inter"/>
          <w:sz w:val="18"/>
          <w:u w:val="single"/>
        </w:rPr>
        <w:t>https://thegreensolutions.vn/tgs-group-and-nghi-son-2-power-llc-sign-mou-on-green-ammonia</w:t>
      </w:r>
      <w:r>
        <w:fldChar w:fldCharType="end"/>
      </w:r>
      <w:r>
        <w:rPr>
          <w:rFonts w:ascii="inter" w:eastAsia="inter" w:hAnsi="inter" w:cs="inter"/>
          <w:color w:val="000000"/>
          <w:sz w:val="18"/>
        </w:rPr>
        <w:t xml:space="preserve"> </w:t>
      </w:r>
    </w:p>
    <w:bookmarkStart w:id="475" w:name="fn61"/>
    <w:bookmarkEnd w:id="475"/>
    <w:p w14:paraId="0F552809" w14:textId="77777777" w:rsidR="00CB47B0" w:rsidRDefault="00000000">
      <w:pPr>
        <w:numPr>
          <w:ilvl w:val="0"/>
          <w:numId w:val="2"/>
        </w:numPr>
        <w:spacing w:after="210" w:line="360" w:lineRule="auto"/>
      </w:pPr>
      <w:r>
        <w:fldChar w:fldCharType="begin"/>
      </w:r>
      <w:r>
        <w:instrText>HYPERLINK "https://globalreferral.group/sea-change-vietnams-offshore-wind-projects-leading-the-way/" \h</w:instrText>
      </w:r>
      <w:r>
        <w:fldChar w:fldCharType="separate"/>
      </w:r>
      <w:r>
        <w:rPr>
          <w:rFonts w:ascii="inter" w:eastAsia="inter" w:hAnsi="inter" w:cs="inter"/>
          <w:sz w:val="18"/>
          <w:u w:val="single"/>
        </w:rPr>
        <w:t>https://globalreferral.group/sea-change-vietnams-offshore-wind-projects-leading-the-way/</w:t>
      </w:r>
      <w:r>
        <w:fldChar w:fldCharType="end"/>
      </w:r>
      <w:r>
        <w:rPr>
          <w:rFonts w:ascii="inter" w:eastAsia="inter" w:hAnsi="inter" w:cs="inter"/>
          <w:color w:val="000000"/>
          <w:sz w:val="18"/>
        </w:rPr>
        <w:t xml:space="preserve"> </w:t>
      </w:r>
    </w:p>
    <w:bookmarkStart w:id="476" w:name="fn62"/>
    <w:bookmarkEnd w:id="476"/>
    <w:p w14:paraId="50ED9C3D" w14:textId="77777777" w:rsidR="00CB47B0" w:rsidRDefault="00000000">
      <w:pPr>
        <w:numPr>
          <w:ilvl w:val="0"/>
          <w:numId w:val="2"/>
        </w:numPr>
        <w:spacing w:after="210" w:line="360" w:lineRule="auto"/>
      </w:pPr>
      <w:r>
        <w:fldChar w:fldCharType="begin"/>
      </w:r>
      <w:r>
        <w:instrText>HYPERLINK "https://www.pvknowhow.com/news/vietnam-solar-energy-shifts-toward-farms/" \h</w:instrText>
      </w:r>
      <w:r>
        <w:fldChar w:fldCharType="separate"/>
      </w:r>
      <w:r>
        <w:rPr>
          <w:rFonts w:ascii="inter" w:eastAsia="inter" w:hAnsi="inter" w:cs="inter"/>
          <w:sz w:val="18"/>
          <w:u w:val="single"/>
        </w:rPr>
        <w:t>https://www.pvknowhow.com/news/vietnam-solar-energy-shifts-toward-farms/</w:t>
      </w:r>
      <w:r>
        <w:fldChar w:fldCharType="end"/>
      </w:r>
      <w:r>
        <w:rPr>
          <w:rFonts w:ascii="inter" w:eastAsia="inter" w:hAnsi="inter" w:cs="inter"/>
          <w:color w:val="000000"/>
          <w:sz w:val="18"/>
        </w:rPr>
        <w:t xml:space="preserve"> </w:t>
      </w:r>
    </w:p>
    <w:bookmarkStart w:id="477" w:name="fn63"/>
    <w:bookmarkEnd w:id="477"/>
    <w:p w14:paraId="468FA820" w14:textId="77777777" w:rsidR="00CB47B0" w:rsidRDefault="00000000">
      <w:pPr>
        <w:numPr>
          <w:ilvl w:val="0"/>
          <w:numId w:val="2"/>
        </w:numPr>
        <w:spacing w:after="210" w:line="360" w:lineRule="auto"/>
      </w:pPr>
      <w:r>
        <w:fldChar w:fldCharType="begin"/>
      </w:r>
      <w:r>
        <w:instrText>HYPERLINK "https://ngoclonghaisongroup.com/en/current-status-of-tidal-energy-development-in-vietnam" \h</w:instrText>
      </w:r>
      <w:r>
        <w:fldChar w:fldCharType="separate"/>
      </w:r>
      <w:r>
        <w:rPr>
          <w:rFonts w:ascii="inter" w:eastAsia="inter" w:hAnsi="inter" w:cs="inter"/>
          <w:sz w:val="18"/>
          <w:u w:val="single"/>
        </w:rPr>
        <w:t>https://ngoclonghaisongroup.com/en/current-status-of-tidal-energy-development-in-vietnam</w:t>
      </w:r>
      <w:r>
        <w:fldChar w:fldCharType="end"/>
      </w:r>
      <w:r>
        <w:rPr>
          <w:rFonts w:ascii="inter" w:eastAsia="inter" w:hAnsi="inter" w:cs="inter"/>
          <w:color w:val="000000"/>
          <w:sz w:val="18"/>
        </w:rPr>
        <w:t xml:space="preserve"> </w:t>
      </w:r>
    </w:p>
    <w:bookmarkStart w:id="478" w:name="fn64"/>
    <w:bookmarkEnd w:id="478"/>
    <w:p w14:paraId="1031B6E9" w14:textId="77777777" w:rsidR="00CB47B0" w:rsidRDefault="00000000">
      <w:pPr>
        <w:numPr>
          <w:ilvl w:val="0"/>
          <w:numId w:val="2"/>
        </w:numPr>
        <w:spacing w:after="210" w:line="360" w:lineRule="auto"/>
      </w:pPr>
      <w:r>
        <w:fldChar w:fldCharType="begin"/>
      </w:r>
      <w:r>
        <w:instrText>HYPERLINK "https://bioenergytimes.com/vietnam-steps-up-push-for-sustainable-aviation-fuel-carbon-reduction-program/" \h</w:instrText>
      </w:r>
      <w:r>
        <w:fldChar w:fldCharType="separate"/>
      </w:r>
      <w:r>
        <w:rPr>
          <w:rFonts w:ascii="inter" w:eastAsia="inter" w:hAnsi="inter" w:cs="inter"/>
          <w:sz w:val="18"/>
          <w:u w:val="single"/>
        </w:rPr>
        <w:t>https://bioenergytimes.com/vietnam-steps-up-push-for-sustainable-aviation-fuel-carbon-reduction-program/</w:t>
      </w:r>
      <w:r>
        <w:fldChar w:fldCharType="end"/>
      </w:r>
      <w:r>
        <w:rPr>
          <w:rFonts w:ascii="inter" w:eastAsia="inter" w:hAnsi="inter" w:cs="inter"/>
          <w:color w:val="000000"/>
          <w:sz w:val="18"/>
        </w:rPr>
        <w:t xml:space="preserve"> </w:t>
      </w:r>
    </w:p>
    <w:bookmarkStart w:id="479" w:name="fn65"/>
    <w:bookmarkEnd w:id="479"/>
    <w:p w14:paraId="5E42AF9B" w14:textId="77777777" w:rsidR="00CB47B0" w:rsidRDefault="00000000">
      <w:pPr>
        <w:numPr>
          <w:ilvl w:val="0"/>
          <w:numId w:val="2"/>
        </w:numPr>
        <w:spacing w:after="210" w:line="360" w:lineRule="auto"/>
      </w:pPr>
      <w:r>
        <w:fldChar w:fldCharType="begin"/>
      </w:r>
      <w:r>
        <w:instrText>HYPERLINK "https://aquaterraenergy.com/solutions/decommissioning/" \h</w:instrText>
      </w:r>
      <w:r>
        <w:fldChar w:fldCharType="separate"/>
      </w:r>
      <w:r>
        <w:rPr>
          <w:rFonts w:ascii="inter" w:eastAsia="inter" w:hAnsi="inter" w:cs="inter"/>
          <w:sz w:val="18"/>
          <w:u w:val="single"/>
        </w:rPr>
        <w:t>https://aquaterraenergy.com/solutions/decommissioning/</w:t>
      </w:r>
      <w:r>
        <w:fldChar w:fldCharType="end"/>
      </w:r>
      <w:r>
        <w:rPr>
          <w:rFonts w:ascii="inter" w:eastAsia="inter" w:hAnsi="inter" w:cs="inter"/>
          <w:color w:val="000000"/>
          <w:sz w:val="18"/>
        </w:rPr>
        <w:t xml:space="preserve"> </w:t>
      </w:r>
    </w:p>
    <w:bookmarkStart w:id="480" w:name="fn66"/>
    <w:bookmarkEnd w:id="480"/>
    <w:p w14:paraId="3F57B888" w14:textId="77777777" w:rsidR="00CB47B0" w:rsidRDefault="00000000">
      <w:pPr>
        <w:numPr>
          <w:ilvl w:val="0"/>
          <w:numId w:val="2"/>
        </w:numPr>
        <w:spacing w:after="210" w:line="360" w:lineRule="auto"/>
      </w:pPr>
      <w:r>
        <w:fldChar w:fldCharType="begin"/>
      </w:r>
      <w:r>
        <w:instrText>HYPERLINK "https://www.greenairnews.com/?p=5111" \h</w:instrText>
      </w:r>
      <w:r>
        <w:fldChar w:fldCharType="separate"/>
      </w:r>
      <w:r>
        <w:rPr>
          <w:rFonts w:ascii="inter" w:eastAsia="inter" w:hAnsi="inter" w:cs="inter"/>
          <w:sz w:val="18"/>
          <w:u w:val="single"/>
        </w:rPr>
        <w:t>https://www.greenairnews.com/?p=5111</w:t>
      </w:r>
      <w:r>
        <w:fldChar w:fldCharType="end"/>
      </w:r>
      <w:r>
        <w:rPr>
          <w:rFonts w:ascii="inter" w:eastAsia="inter" w:hAnsi="inter" w:cs="inter"/>
          <w:color w:val="000000"/>
          <w:sz w:val="18"/>
        </w:rPr>
        <w:t xml:space="preserve"> </w:t>
      </w:r>
    </w:p>
    <w:bookmarkStart w:id="481" w:name="fn67"/>
    <w:bookmarkEnd w:id="481"/>
    <w:p w14:paraId="234F107A" w14:textId="77777777" w:rsidR="00CB47B0" w:rsidRDefault="00000000">
      <w:pPr>
        <w:numPr>
          <w:ilvl w:val="0"/>
          <w:numId w:val="2"/>
        </w:numPr>
        <w:spacing w:after="210" w:line="360" w:lineRule="auto"/>
      </w:pPr>
      <w:r>
        <w:fldChar w:fldCharType="begin"/>
      </w:r>
      <w:r>
        <w:instrText>HYPERLINK "https://www.nationalgrid.com/media-centre/press-releases/Milestone-reached-for-new-subsea-electricity-link" \h</w:instrText>
      </w:r>
      <w:r>
        <w:fldChar w:fldCharType="separate"/>
      </w:r>
      <w:r>
        <w:rPr>
          <w:rFonts w:ascii="inter" w:eastAsia="inter" w:hAnsi="inter" w:cs="inter"/>
          <w:sz w:val="18"/>
          <w:u w:val="single"/>
        </w:rPr>
        <w:t>https://www.nationalgrid.com/media-centre/press-releases/Milestone-reached-for-new-subsea-electricity-link</w:t>
      </w:r>
      <w:r>
        <w:fldChar w:fldCharType="end"/>
      </w:r>
      <w:r>
        <w:rPr>
          <w:rFonts w:ascii="inter" w:eastAsia="inter" w:hAnsi="inter" w:cs="inter"/>
          <w:color w:val="000000"/>
          <w:sz w:val="18"/>
        </w:rPr>
        <w:t xml:space="preserve"> </w:t>
      </w:r>
    </w:p>
    <w:bookmarkStart w:id="482" w:name="fn68"/>
    <w:bookmarkEnd w:id="482"/>
    <w:p w14:paraId="2B37CE58" w14:textId="77777777" w:rsidR="00CB47B0" w:rsidRDefault="00000000">
      <w:pPr>
        <w:numPr>
          <w:ilvl w:val="0"/>
          <w:numId w:val="2"/>
        </w:numPr>
        <w:spacing w:after="210" w:line="360" w:lineRule="auto"/>
      </w:pPr>
      <w:r>
        <w:fldChar w:fldCharType="begin"/>
      </w:r>
      <w:r>
        <w:instrText>HYPERLINK "https://www.sourceofasia.com/vietnam-renewable-energy-industry/" \h</w:instrText>
      </w:r>
      <w:r>
        <w:fldChar w:fldCharType="separate"/>
      </w:r>
      <w:r>
        <w:rPr>
          <w:rFonts w:ascii="inter" w:eastAsia="inter" w:hAnsi="inter" w:cs="inter"/>
          <w:sz w:val="18"/>
          <w:u w:val="single"/>
        </w:rPr>
        <w:t>https://www.sourceofasia.com/vietnam-renewable-energy-industry/</w:t>
      </w:r>
      <w:r>
        <w:fldChar w:fldCharType="end"/>
      </w:r>
      <w:r>
        <w:rPr>
          <w:rFonts w:ascii="inter" w:eastAsia="inter" w:hAnsi="inter" w:cs="inter"/>
          <w:color w:val="000000"/>
          <w:sz w:val="18"/>
        </w:rPr>
        <w:t xml:space="preserve"> </w:t>
      </w:r>
    </w:p>
    <w:bookmarkStart w:id="483" w:name="fn69"/>
    <w:bookmarkEnd w:id="483"/>
    <w:p w14:paraId="16F3DE63" w14:textId="77777777" w:rsidR="00CB47B0" w:rsidRDefault="00000000">
      <w:pPr>
        <w:numPr>
          <w:ilvl w:val="0"/>
          <w:numId w:val="2"/>
        </w:numPr>
        <w:spacing w:after="210" w:line="360" w:lineRule="auto"/>
      </w:pPr>
      <w:r>
        <w:fldChar w:fldCharType="begin"/>
      </w:r>
      <w:r>
        <w:instrText>HYPERLINK "https://greenup.asia/vietnam-irec-market-overview/" \h</w:instrText>
      </w:r>
      <w:r>
        <w:fldChar w:fldCharType="separate"/>
      </w:r>
      <w:r>
        <w:rPr>
          <w:rFonts w:ascii="inter" w:eastAsia="inter" w:hAnsi="inter" w:cs="inter"/>
          <w:sz w:val="18"/>
          <w:u w:val="single"/>
        </w:rPr>
        <w:t>https://greenup.asia/vietnam-irec-market-overview/</w:t>
      </w:r>
      <w:r>
        <w:fldChar w:fldCharType="end"/>
      </w:r>
      <w:r>
        <w:rPr>
          <w:rFonts w:ascii="inter" w:eastAsia="inter" w:hAnsi="inter" w:cs="inter"/>
          <w:color w:val="000000"/>
          <w:sz w:val="18"/>
        </w:rPr>
        <w:t xml:space="preserve"> </w:t>
      </w:r>
    </w:p>
    <w:bookmarkStart w:id="484" w:name="fn70"/>
    <w:bookmarkEnd w:id="484"/>
    <w:p w14:paraId="24A73C55" w14:textId="77777777" w:rsidR="00CB47B0" w:rsidRDefault="00000000">
      <w:pPr>
        <w:numPr>
          <w:ilvl w:val="0"/>
          <w:numId w:val="2"/>
        </w:numPr>
        <w:spacing w:after="210" w:line="360" w:lineRule="auto"/>
      </w:pPr>
      <w:r>
        <w:fldChar w:fldCharType="begin"/>
      </w:r>
      <w:r>
        <w:instrText>HYPERLINK "https://theinvestor.vn/vietnams-army-backed-construction-firm-proposes-14-offshore-wind-power-projects-d16584.html" \h</w:instrText>
      </w:r>
      <w:r>
        <w:fldChar w:fldCharType="separate"/>
      </w:r>
      <w:r>
        <w:rPr>
          <w:rFonts w:ascii="inter" w:eastAsia="inter" w:hAnsi="inter" w:cs="inter"/>
          <w:sz w:val="18"/>
          <w:u w:val="single"/>
        </w:rPr>
        <w:t>https://theinvestor.vn/vietnams-army-backed-construction-firm-proposes-14-offshore-wind-power-projects-d16584.html</w:t>
      </w:r>
      <w:r>
        <w:fldChar w:fldCharType="end"/>
      </w:r>
      <w:r>
        <w:rPr>
          <w:rFonts w:ascii="inter" w:eastAsia="inter" w:hAnsi="inter" w:cs="inter"/>
          <w:color w:val="000000"/>
          <w:sz w:val="18"/>
        </w:rPr>
        <w:t xml:space="preserve"> </w:t>
      </w:r>
    </w:p>
    <w:bookmarkStart w:id="485" w:name="fn71"/>
    <w:bookmarkEnd w:id="485"/>
    <w:p w14:paraId="3EC23D7B" w14:textId="77777777" w:rsidR="00CB47B0" w:rsidRDefault="00000000">
      <w:pPr>
        <w:numPr>
          <w:ilvl w:val="0"/>
          <w:numId w:val="2"/>
        </w:numPr>
        <w:spacing w:after="210" w:line="360" w:lineRule="auto"/>
      </w:pPr>
      <w:r>
        <w:fldChar w:fldCharType="begin"/>
      </w:r>
      <w:r>
        <w:instrText>HYPERLINK "https://www.coriogeneration.com/vietnam" \h</w:instrText>
      </w:r>
      <w:r>
        <w:fldChar w:fldCharType="separate"/>
      </w:r>
      <w:r>
        <w:rPr>
          <w:rFonts w:ascii="inter" w:eastAsia="inter" w:hAnsi="inter" w:cs="inter"/>
          <w:sz w:val="18"/>
          <w:u w:val="single"/>
        </w:rPr>
        <w:t>https://www.coriogeneration.com/vietnam</w:t>
      </w:r>
      <w:r>
        <w:fldChar w:fldCharType="end"/>
      </w:r>
      <w:r>
        <w:rPr>
          <w:rFonts w:ascii="inter" w:eastAsia="inter" w:hAnsi="inter" w:cs="inter"/>
          <w:color w:val="000000"/>
          <w:sz w:val="18"/>
        </w:rPr>
        <w:t xml:space="preserve"> </w:t>
      </w:r>
    </w:p>
    <w:bookmarkStart w:id="486" w:name="fn72"/>
    <w:bookmarkEnd w:id="486"/>
    <w:p w14:paraId="3CBD5ECB" w14:textId="77777777" w:rsidR="00CB47B0" w:rsidRDefault="00000000">
      <w:pPr>
        <w:numPr>
          <w:ilvl w:val="0"/>
          <w:numId w:val="2"/>
        </w:numPr>
        <w:spacing w:after="210" w:line="360" w:lineRule="auto"/>
      </w:pPr>
      <w:r>
        <w:fldChar w:fldCharType="begin"/>
      </w:r>
      <w:r>
        <w:instrText>HYPERLINK "https://minh.haduong.com/files/HaDuong.ea-2021-PlanningPolicyOffshoreWind.pdf" \h</w:instrText>
      </w:r>
      <w:r>
        <w:fldChar w:fldCharType="separate"/>
      </w:r>
      <w:r>
        <w:rPr>
          <w:rFonts w:ascii="inter" w:eastAsia="inter" w:hAnsi="inter" w:cs="inter"/>
          <w:sz w:val="18"/>
          <w:u w:val="single"/>
        </w:rPr>
        <w:t>https://minh.haduong.com/files/HaDuong.ea-2021-PlanningPolicyOffshoreWind.pdf</w:t>
      </w:r>
      <w:r>
        <w:fldChar w:fldCharType="end"/>
      </w:r>
      <w:r>
        <w:rPr>
          <w:rFonts w:ascii="inter" w:eastAsia="inter" w:hAnsi="inter" w:cs="inter"/>
          <w:color w:val="000000"/>
          <w:sz w:val="18"/>
        </w:rPr>
        <w:t xml:space="preserve"> </w:t>
      </w:r>
    </w:p>
    <w:bookmarkStart w:id="487" w:name="fn73"/>
    <w:bookmarkEnd w:id="487"/>
    <w:p w14:paraId="47EA53AF" w14:textId="77777777" w:rsidR="00CB47B0" w:rsidRDefault="00000000">
      <w:pPr>
        <w:numPr>
          <w:ilvl w:val="0"/>
          <w:numId w:val="2"/>
        </w:numPr>
        <w:spacing w:after="210" w:line="360" w:lineRule="auto"/>
      </w:pPr>
      <w:r>
        <w:fldChar w:fldCharType="begin"/>
      </w:r>
      <w:r>
        <w:instrText>HYPERLINK "https://www.reccessary.com/en/insight/unlocking-vietnams-renewable-energy-future-pdp8" \h</w:instrText>
      </w:r>
      <w:r>
        <w:fldChar w:fldCharType="separate"/>
      </w:r>
      <w:r>
        <w:rPr>
          <w:rFonts w:ascii="inter" w:eastAsia="inter" w:hAnsi="inter" w:cs="inter"/>
          <w:sz w:val="18"/>
          <w:u w:val="single"/>
        </w:rPr>
        <w:t>https://www.reccessary.com/en/insight/unlocking-vietnams-renewable-energy-future-pdp8</w:t>
      </w:r>
      <w:r>
        <w:fldChar w:fldCharType="end"/>
      </w:r>
      <w:r>
        <w:rPr>
          <w:rFonts w:ascii="inter" w:eastAsia="inter" w:hAnsi="inter" w:cs="inter"/>
          <w:color w:val="000000"/>
          <w:sz w:val="18"/>
        </w:rPr>
        <w:t xml:space="preserve"> </w:t>
      </w:r>
    </w:p>
    <w:bookmarkStart w:id="488" w:name="fn74"/>
    <w:bookmarkEnd w:id="488"/>
    <w:p w14:paraId="0399346C" w14:textId="77777777" w:rsidR="00CB47B0" w:rsidRDefault="00000000">
      <w:pPr>
        <w:numPr>
          <w:ilvl w:val="0"/>
          <w:numId w:val="2"/>
        </w:numPr>
        <w:spacing w:after="210" w:line="360" w:lineRule="auto"/>
      </w:pPr>
      <w:r>
        <w:fldChar w:fldCharType="begin"/>
      </w:r>
      <w:r>
        <w:instrText>HYPERLINK "https://mddb.apec.org/Documents/2025/CTI/WKSP2/25_cti_wksp2_009.pdf" \h</w:instrText>
      </w:r>
      <w:r>
        <w:fldChar w:fldCharType="separate"/>
      </w:r>
      <w:r>
        <w:rPr>
          <w:rFonts w:ascii="inter" w:eastAsia="inter" w:hAnsi="inter" w:cs="inter"/>
          <w:sz w:val="18"/>
          <w:u w:val="single"/>
        </w:rPr>
        <w:t>https://mddb.apec.org/Documents/2025/CTI/WKSP2/25_cti_wksp2_009.pdf</w:t>
      </w:r>
      <w:r>
        <w:fldChar w:fldCharType="end"/>
      </w:r>
      <w:r>
        <w:rPr>
          <w:rFonts w:ascii="inter" w:eastAsia="inter" w:hAnsi="inter" w:cs="inter"/>
          <w:color w:val="000000"/>
          <w:sz w:val="18"/>
        </w:rPr>
        <w:t xml:space="preserve"> </w:t>
      </w:r>
    </w:p>
    <w:sectPr w:rsidR="00CB47B0">
      <w:headerReference w:type="default" r:id="rId10"/>
      <w:footerReference w:type="default" r:id="rId11"/>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3613" w14:textId="77777777" w:rsidR="00EE28F7" w:rsidRDefault="00EE28F7" w:rsidP="00713423">
      <w:pPr>
        <w:spacing w:after="0" w:line="240" w:lineRule="auto"/>
      </w:pPr>
      <w:r>
        <w:separator/>
      </w:r>
    </w:p>
  </w:endnote>
  <w:endnote w:type="continuationSeparator" w:id="0">
    <w:p w14:paraId="1C26F0F1" w14:textId="77777777" w:rsidR="00EE28F7" w:rsidRDefault="00EE28F7" w:rsidP="00713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415854"/>
      <w:docPartObj>
        <w:docPartGallery w:val="Page Numbers (Bottom of Page)"/>
        <w:docPartUnique/>
      </w:docPartObj>
    </w:sdtPr>
    <w:sdtEndPr>
      <w:rPr>
        <w:noProof/>
      </w:rPr>
    </w:sdtEndPr>
    <w:sdtContent>
      <w:p w14:paraId="5363F7F6" w14:textId="068BBF83" w:rsidR="000402BF" w:rsidRDefault="000402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9693" w14:textId="77777777" w:rsidR="000402BF" w:rsidRDefault="00040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3B9E" w14:textId="77777777" w:rsidR="00EE28F7" w:rsidRDefault="00EE28F7" w:rsidP="00713423">
      <w:pPr>
        <w:spacing w:after="0" w:line="240" w:lineRule="auto"/>
      </w:pPr>
      <w:r>
        <w:separator/>
      </w:r>
    </w:p>
  </w:footnote>
  <w:footnote w:type="continuationSeparator" w:id="0">
    <w:p w14:paraId="13EC7D55" w14:textId="77777777" w:rsidR="00EE28F7" w:rsidRDefault="00EE28F7" w:rsidP="00713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9F83" w14:textId="418684E8" w:rsidR="00713423" w:rsidRDefault="00713423">
    <w:pPr>
      <w:pStyle w:val="Header"/>
    </w:pPr>
    <w:r>
      <w:rPr>
        <w:noProof/>
      </w:rPr>
      <mc:AlternateContent>
        <mc:Choice Requires="wps">
          <w:drawing>
            <wp:anchor distT="0" distB="0" distL="118745" distR="118745" simplePos="0" relativeHeight="251659264" behindDoc="1" locked="0" layoutInCell="1" allowOverlap="0" wp14:anchorId="60A59F99" wp14:editId="4CE88DA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031A0D5" w14:textId="635E3009" w:rsidR="00713423" w:rsidRDefault="00713423">
                              <w:pPr>
                                <w:pStyle w:val="Header"/>
                                <w:jc w:val="center"/>
                                <w:rPr>
                                  <w:caps/>
                                  <w:color w:val="FFFFFF" w:themeColor="background1"/>
                                </w:rPr>
                              </w:pPr>
                              <w:r>
                                <w:rPr>
                                  <w:caps/>
                                  <w:color w:val="FFFFFF" w:themeColor="background1"/>
                                </w:rPr>
                                <w:t>offshore low carbon opportunities in vietnam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0A59F99"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0031A0D5" w14:textId="635E3009" w:rsidR="00713423" w:rsidRDefault="00713423">
                        <w:pPr>
                          <w:pStyle w:val="Header"/>
                          <w:jc w:val="center"/>
                          <w:rPr>
                            <w:caps/>
                            <w:color w:val="FFFFFF" w:themeColor="background1"/>
                          </w:rPr>
                        </w:pPr>
                        <w:r>
                          <w:rPr>
                            <w:caps/>
                            <w:color w:val="FFFFFF" w:themeColor="background1"/>
                          </w:rPr>
                          <w:t>offshore low carbon opportunities in vietnam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D25"/>
    <w:multiLevelType w:val="hybridMultilevel"/>
    <w:tmpl w:val="5CD24B56"/>
    <w:lvl w:ilvl="0" w:tplc="A7607B8A">
      <w:start w:val="1"/>
      <w:numFmt w:val="decimal"/>
      <w:lvlText w:val="%1."/>
      <w:lvlJc w:val="left"/>
      <w:pPr>
        <w:tabs>
          <w:tab w:val="num" w:pos="900"/>
        </w:tabs>
        <w:ind w:left="540" w:hanging="360"/>
      </w:pPr>
    </w:lvl>
    <w:lvl w:ilvl="1" w:tplc="E542BD4C">
      <w:numFmt w:val="decimal"/>
      <w:lvlText w:val=""/>
      <w:lvlJc w:val="left"/>
    </w:lvl>
    <w:lvl w:ilvl="2" w:tplc="B174242E">
      <w:numFmt w:val="decimal"/>
      <w:lvlText w:val=""/>
      <w:lvlJc w:val="left"/>
    </w:lvl>
    <w:lvl w:ilvl="3" w:tplc="525C1B9A">
      <w:numFmt w:val="decimal"/>
      <w:lvlText w:val=""/>
      <w:lvlJc w:val="left"/>
    </w:lvl>
    <w:lvl w:ilvl="4" w:tplc="3E76BE88">
      <w:numFmt w:val="decimal"/>
      <w:lvlText w:val=""/>
      <w:lvlJc w:val="left"/>
    </w:lvl>
    <w:lvl w:ilvl="5" w:tplc="1F44E8EE">
      <w:numFmt w:val="decimal"/>
      <w:lvlText w:val=""/>
      <w:lvlJc w:val="left"/>
    </w:lvl>
    <w:lvl w:ilvl="6" w:tplc="A61CF91E">
      <w:numFmt w:val="decimal"/>
      <w:lvlText w:val=""/>
      <w:lvlJc w:val="left"/>
    </w:lvl>
    <w:lvl w:ilvl="7" w:tplc="A5DEB56C">
      <w:numFmt w:val="decimal"/>
      <w:lvlText w:val=""/>
      <w:lvlJc w:val="left"/>
    </w:lvl>
    <w:lvl w:ilvl="8" w:tplc="A6D0030A">
      <w:numFmt w:val="decimal"/>
      <w:lvlText w:val=""/>
      <w:lvlJc w:val="left"/>
    </w:lvl>
  </w:abstractNum>
  <w:abstractNum w:abstractNumId="1" w15:restartNumberingAfterBreak="0">
    <w:nsid w:val="16FA1B71"/>
    <w:multiLevelType w:val="hybridMultilevel"/>
    <w:tmpl w:val="05641DC6"/>
    <w:lvl w:ilvl="0" w:tplc="7DFCA62C">
      <w:numFmt w:val="decimal"/>
      <w:lvlText w:val=""/>
      <w:lvlJc w:val="left"/>
    </w:lvl>
    <w:lvl w:ilvl="1" w:tplc="7F5C5A4E">
      <w:numFmt w:val="decimal"/>
      <w:lvlText w:val=""/>
      <w:lvlJc w:val="left"/>
    </w:lvl>
    <w:lvl w:ilvl="2" w:tplc="B602FE1C">
      <w:numFmt w:val="decimal"/>
      <w:lvlText w:val=""/>
      <w:lvlJc w:val="left"/>
    </w:lvl>
    <w:lvl w:ilvl="3" w:tplc="2AB60F1C">
      <w:numFmt w:val="decimal"/>
      <w:lvlText w:val=""/>
      <w:lvlJc w:val="left"/>
    </w:lvl>
    <w:lvl w:ilvl="4" w:tplc="1F8EDD2A">
      <w:numFmt w:val="decimal"/>
      <w:lvlText w:val=""/>
      <w:lvlJc w:val="left"/>
    </w:lvl>
    <w:lvl w:ilvl="5" w:tplc="48CC17C4">
      <w:numFmt w:val="decimal"/>
      <w:lvlText w:val=""/>
      <w:lvlJc w:val="left"/>
    </w:lvl>
    <w:lvl w:ilvl="6" w:tplc="30C69AC6">
      <w:numFmt w:val="decimal"/>
      <w:lvlText w:val=""/>
      <w:lvlJc w:val="left"/>
    </w:lvl>
    <w:lvl w:ilvl="7" w:tplc="2F2C332E">
      <w:numFmt w:val="decimal"/>
      <w:lvlText w:val=""/>
      <w:lvlJc w:val="left"/>
    </w:lvl>
    <w:lvl w:ilvl="8" w:tplc="FC4EFDEC">
      <w:numFmt w:val="decimal"/>
      <w:lvlText w:val=""/>
      <w:lvlJc w:val="left"/>
    </w:lvl>
  </w:abstractNum>
  <w:num w:numId="1" w16cid:durableId="1894583007">
    <w:abstractNumId w:val="1"/>
  </w:num>
  <w:num w:numId="2" w16cid:durableId="45537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B0"/>
    <w:rsid w:val="000402BF"/>
    <w:rsid w:val="00126F5D"/>
    <w:rsid w:val="00305FD1"/>
    <w:rsid w:val="00706473"/>
    <w:rsid w:val="00713423"/>
    <w:rsid w:val="007F30BE"/>
    <w:rsid w:val="00A225FB"/>
    <w:rsid w:val="00A460CE"/>
    <w:rsid w:val="00BA1DD0"/>
    <w:rsid w:val="00CB47B0"/>
    <w:rsid w:val="00EC49D4"/>
    <w:rsid w:val="00EE28F7"/>
    <w:rsid w:val="00FF4A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B06D"/>
  <w15:docId w15:val="{A3D6B8A3-7C57-48F1-8804-56AEE9BC9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0CE"/>
    <w:pPr>
      <w:keepNext/>
      <w:keepLines/>
      <w:spacing w:before="240" w:after="0" w:line="360" w:lineRule="auto"/>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styleId="Hyperlink">
    <w:name w:val="Hyperlink"/>
    <w:basedOn w:val="DefaultParagraphFont"/>
    <w:uiPriority w:val="99"/>
    <w:unhideWhenUsed/>
    <w:rsid w:val="00A460CE"/>
    <w:rPr>
      <w:color w:val="467886" w:themeColor="hyperlink"/>
      <w:u w:val="single"/>
    </w:rPr>
  </w:style>
  <w:style w:type="character" w:customStyle="1" w:styleId="Heading1Char">
    <w:name w:val="Heading 1 Char"/>
    <w:basedOn w:val="DefaultParagraphFont"/>
    <w:link w:val="Heading1"/>
    <w:uiPriority w:val="9"/>
    <w:rsid w:val="00A460CE"/>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rsid w:val="007134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423"/>
  </w:style>
  <w:style w:type="paragraph" w:styleId="Footer">
    <w:name w:val="footer"/>
    <w:basedOn w:val="Normal"/>
    <w:link w:val="FooterChar"/>
    <w:uiPriority w:val="99"/>
    <w:unhideWhenUsed/>
    <w:rsid w:val="00713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plexity.a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im.hamill@energise2-0.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11285</Words>
  <Characters>85877</Characters>
  <Application>Microsoft Office Word</Application>
  <DocSecurity>0</DocSecurity>
  <Lines>1068</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low carbon opportunities in vietnam</dc:title>
  <dc:subject/>
  <dc:creator>html-to-docx</dc:creator>
  <cp:keywords>html-to-docx</cp:keywords>
  <dc:description/>
  <cp:lastModifiedBy>Jim Hamill</cp:lastModifiedBy>
  <cp:revision>6</cp:revision>
  <cp:lastPrinted>2025-11-19T05:41:00Z</cp:lastPrinted>
  <dcterms:created xsi:type="dcterms:W3CDTF">2025-11-17T13:54:00Z</dcterms:created>
  <dcterms:modified xsi:type="dcterms:W3CDTF">2025-11-19T06:06:00Z</dcterms:modified>
</cp:coreProperties>
</file>