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3B6" w:rsidRDefault="003E5005">
      <w:pPr>
        <w:spacing w:before="200" w:after="60"/>
      </w:pPr>
      <w:r>
        <w:rPr>
          <w:b/>
          <w:bCs/>
          <w:color w:val="1B3A6B"/>
          <w:sz w:val="40"/>
          <w:szCs w:val="40"/>
        </w:rPr>
        <w:t>HEALTHBRIDGE OCCUPATIONAL HEALTH LTD</w:t>
      </w:r>
    </w:p>
    <w:p w:rsidR="006C23B6" w:rsidRDefault="003E5005">
      <w:pPr>
        <w:spacing w:after="80"/>
      </w:pPr>
      <w:r>
        <w:rPr>
          <w:b/>
          <w:bCs/>
          <w:color w:val="1B3A6B"/>
          <w:sz w:val="28"/>
          <w:szCs w:val="28"/>
        </w:rPr>
        <w:t>Equality, Diversity and Inclusion Policy</w:t>
      </w:r>
    </w:p>
    <w:p w:rsidR="006C23B6" w:rsidRDefault="003E5005">
      <w:pPr>
        <w:pBdr>
          <w:bottom w:val="thick" w:sz="12" w:space="3" w:color="1B3A6B"/>
        </w:pBdr>
        <w:spacing w:after="240"/>
      </w:pPr>
      <w:r>
        <w:rPr>
          <w:i/>
          <w:iCs/>
          <w:color w:val="6B7280"/>
          <w:sz w:val="19"/>
          <w:szCs w:val="19"/>
        </w:rPr>
        <w:t>GP-Led Occupational Health Services   |   Version 2.0   |   Effective 13 June 2026</w:t>
      </w:r>
    </w:p>
    <w:p w:rsidR="006C23B6" w:rsidRDefault="006C23B6">
      <w:pPr>
        <w:spacing w:before="80"/>
      </w:pPr>
    </w:p>
    <w:p w:rsidR="006C23B6" w:rsidRDefault="003E5005">
      <w:pPr>
        <w:spacing w:before="400" w:after="120"/>
      </w:pPr>
      <w:r>
        <w:rPr>
          <w:b/>
          <w:bCs/>
          <w:color w:val="1B3A6B"/>
          <w:sz w:val="28"/>
          <w:szCs w:val="28"/>
        </w:rPr>
        <w:t>1.  Our Commitment</w:t>
      </w:r>
    </w:p>
    <w:p w:rsidR="006C23B6" w:rsidRDefault="006C23B6">
      <w:pPr>
        <w:pBdr>
          <w:bottom w:val="single" w:sz="6" w:space="1" w:color="1B3A6B"/>
        </w:pBdr>
        <w:spacing w:before="60" w:after="200"/>
      </w:pPr>
    </w:p>
    <w:p w:rsidR="006C23B6" w:rsidRDefault="003E5005">
      <w:pPr>
        <w:spacing w:before="60" w:after="100"/>
      </w:pPr>
      <w:r>
        <w:rPr>
          <w:color w:val="1A1A2E"/>
        </w:rPr>
        <w:t>HealthBridge Occupational Health Ltd is committed to delivering fair, inclusive, and accessible occupational health services to all employees referred to us, regardless of their background or personal characteristics. We are equally committed to conducting</w:t>
      </w:r>
      <w:r>
        <w:rPr>
          <w:color w:val="1A1A2E"/>
        </w:rPr>
        <w:t xml:space="preserve"> all client and professional relationships free from unlawful discrimination.</w:t>
      </w:r>
    </w:p>
    <w:p w:rsidR="006C23B6" w:rsidRDefault="006C23B6">
      <w:pPr>
        <w:spacing w:before="60"/>
      </w:pPr>
    </w:p>
    <w:p w:rsidR="006C23B6" w:rsidRDefault="003E5005">
      <w:pPr>
        <w:spacing w:before="60" w:after="100"/>
      </w:pPr>
      <w:r>
        <w:rPr>
          <w:color w:val="1A1A2E"/>
        </w:rPr>
        <w:t>This commitment is grounded in:</w:t>
      </w:r>
    </w:p>
    <w:p w:rsidR="006C23B6" w:rsidRDefault="003E5005">
      <w:pPr>
        <w:pStyle w:val="ListParagraph"/>
        <w:numPr>
          <w:ilvl w:val="0"/>
          <w:numId w:val="2"/>
        </w:numPr>
        <w:spacing w:before="40" w:after="40"/>
      </w:pPr>
      <w:r>
        <w:t>Equality Act 2010 — the primary legal framework governing our obligations</w:t>
      </w:r>
    </w:p>
    <w:p w:rsidR="006C23B6" w:rsidRDefault="003E5005">
      <w:pPr>
        <w:pStyle w:val="ListParagraph"/>
        <w:numPr>
          <w:ilvl w:val="0"/>
          <w:numId w:val="2"/>
        </w:numPr>
        <w:spacing w:before="40" w:after="40"/>
      </w:pPr>
      <w:r>
        <w:t>GMC Good Medical Practice — professional duties of non-discrimination a</w:t>
      </w:r>
      <w:r>
        <w:t>nd fair treatment</w:t>
      </w:r>
    </w:p>
    <w:p w:rsidR="006C23B6" w:rsidRDefault="003E5005">
      <w:pPr>
        <w:pStyle w:val="ListParagraph"/>
        <w:numPr>
          <w:ilvl w:val="0"/>
          <w:numId w:val="2"/>
        </w:numPr>
        <w:spacing w:before="40" w:after="40"/>
      </w:pPr>
      <w:r>
        <w:t>ISO 30415 principles — our service delivery aspires to the inclusive practice standards set out in ISO 30415, though HealthBridge does not currently hold formal ISO 30415 certification</w:t>
      </w:r>
    </w:p>
    <w:p w:rsidR="006C23B6" w:rsidRDefault="003E5005">
      <w:pPr>
        <w:pStyle w:val="ListParagraph"/>
        <w:numPr>
          <w:ilvl w:val="0"/>
          <w:numId w:val="2"/>
        </w:numPr>
        <w:spacing w:before="40" w:after="40"/>
      </w:pPr>
      <w:r>
        <w:t>WHO Healthy Workplace Framework — informing our appro</w:t>
      </w:r>
      <w:r>
        <w:t>ach to workplace wellbeing</w:t>
      </w:r>
    </w:p>
    <w:p w:rsidR="006C23B6" w:rsidRDefault="006C23B6">
      <w:pPr>
        <w:spacing w:before="60"/>
      </w:pPr>
    </w:p>
    <w:p w:rsidR="006C23B6" w:rsidRDefault="003E5005">
      <w:pPr>
        <w:spacing w:before="60" w:after="100"/>
      </w:pPr>
      <w:r>
        <w:rPr>
          <w:color w:val="1A1A2E"/>
        </w:rPr>
        <w:t>As a sole-practitioner service, HealthBridge does not have a workforce in the conventional sense. This policy therefore focuses primarily on equality in service delivery — how we treat the employees we assess and the employers w</w:t>
      </w:r>
      <w:r>
        <w:rPr>
          <w:color w:val="1A1A2E"/>
        </w:rPr>
        <w:t>e advise — rather than internal employment metrics.</w:t>
      </w:r>
    </w:p>
    <w:p w:rsidR="006C23B6" w:rsidRDefault="006C23B6">
      <w:pPr>
        <w:spacing w:before="80"/>
      </w:pPr>
    </w:p>
    <w:p w:rsidR="006C23B6" w:rsidRDefault="003E5005">
      <w:pPr>
        <w:spacing w:before="400" w:after="120"/>
      </w:pPr>
      <w:r>
        <w:rPr>
          <w:b/>
          <w:bCs/>
          <w:color w:val="1B3A6B"/>
          <w:sz w:val="28"/>
          <w:szCs w:val="28"/>
        </w:rPr>
        <w:t>2.  Scope</w:t>
      </w:r>
    </w:p>
    <w:p w:rsidR="006C23B6" w:rsidRDefault="006C23B6">
      <w:pPr>
        <w:pBdr>
          <w:bottom w:val="single" w:sz="6" w:space="1" w:color="1B3A6B"/>
        </w:pBdr>
        <w:spacing w:before="60" w:after="200"/>
      </w:pPr>
    </w:p>
    <w:p w:rsidR="006C23B6" w:rsidRDefault="003E5005">
      <w:pPr>
        <w:spacing w:before="60" w:after="100"/>
      </w:pPr>
      <w:r>
        <w:rPr>
          <w:color w:val="1A1A2E"/>
        </w:rPr>
        <w:t>This policy applies to:</w:t>
      </w:r>
    </w:p>
    <w:p w:rsidR="006C23B6" w:rsidRDefault="003E5005">
      <w:pPr>
        <w:pStyle w:val="ListParagraph"/>
        <w:numPr>
          <w:ilvl w:val="0"/>
          <w:numId w:val="2"/>
        </w:numPr>
        <w:spacing w:before="40" w:after="40"/>
      </w:pPr>
      <w:r>
        <w:t>All employees referred to HealthBridge for OH assessment</w:t>
      </w:r>
    </w:p>
    <w:p w:rsidR="006C23B6" w:rsidRDefault="003E5005">
      <w:pPr>
        <w:pStyle w:val="ListParagraph"/>
        <w:numPr>
          <w:ilvl w:val="0"/>
          <w:numId w:val="2"/>
        </w:numPr>
        <w:spacing w:before="40" w:after="40"/>
      </w:pPr>
      <w:r>
        <w:t>All referring employers and their representatives</w:t>
      </w:r>
    </w:p>
    <w:p w:rsidR="006C23B6" w:rsidRDefault="003E5005">
      <w:pPr>
        <w:pStyle w:val="ListParagraph"/>
        <w:numPr>
          <w:ilvl w:val="0"/>
          <w:numId w:val="2"/>
        </w:numPr>
        <w:spacing w:before="40" w:after="40"/>
      </w:pPr>
      <w:r>
        <w:t>All contracted third parties working on behalf of HealthBridg</w:t>
      </w:r>
      <w:r>
        <w:t>e</w:t>
      </w:r>
    </w:p>
    <w:p w:rsidR="006C23B6" w:rsidRDefault="003E5005">
      <w:pPr>
        <w:pStyle w:val="ListParagraph"/>
        <w:numPr>
          <w:ilvl w:val="0"/>
          <w:numId w:val="2"/>
        </w:numPr>
        <w:spacing w:before="40" w:after="40"/>
      </w:pPr>
      <w:r>
        <w:t>All written, verbal, and digital communications from HealthBridge</w:t>
      </w:r>
    </w:p>
    <w:p w:rsidR="006C23B6" w:rsidRDefault="003E5005">
      <w:pPr>
        <w:pStyle w:val="ListParagraph"/>
        <w:numPr>
          <w:ilvl w:val="0"/>
          <w:numId w:val="2"/>
        </w:numPr>
        <w:spacing w:before="40" w:after="40"/>
      </w:pPr>
      <w:r>
        <w:t>The content and framing of OH reports and clinical opinions</w:t>
      </w:r>
    </w:p>
    <w:p w:rsidR="006C23B6" w:rsidRDefault="006C23B6">
      <w:pPr>
        <w:spacing w:before="80"/>
      </w:pPr>
    </w:p>
    <w:p w:rsidR="006C23B6" w:rsidRDefault="003E5005">
      <w:pPr>
        <w:spacing w:before="400" w:after="120"/>
      </w:pPr>
      <w:r>
        <w:rPr>
          <w:b/>
          <w:bCs/>
          <w:color w:val="1B3A6B"/>
          <w:sz w:val="28"/>
          <w:szCs w:val="28"/>
        </w:rPr>
        <w:t>3.  Protected Characteristics and Our Broader Commitments</w:t>
      </w:r>
    </w:p>
    <w:p w:rsidR="006C23B6" w:rsidRDefault="006C23B6">
      <w:pPr>
        <w:pBdr>
          <w:bottom w:val="single" w:sz="6" w:space="1" w:color="1B3A6B"/>
        </w:pBdr>
        <w:spacing w:before="60" w:after="200"/>
      </w:pPr>
    </w:p>
    <w:p w:rsidR="006C23B6" w:rsidRDefault="003E5005">
      <w:pPr>
        <w:spacing w:before="60" w:after="100"/>
      </w:pPr>
      <w:r>
        <w:rPr>
          <w:color w:val="1A1A2E"/>
        </w:rPr>
        <w:t>HealthBridge observes and upholds all nine protected characteristics defined by the Equality Act 2010. Our commitment extends further to encompass a broader range of characteristics that, while not always legally protected, can give rise to disadvantage or</w:t>
      </w:r>
      <w:r>
        <w:rPr>
          <w:color w:val="1A1A2E"/>
        </w:rPr>
        <w:t xml:space="preserve"> bias in occupational health settings:</w:t>
      </w:r>
    </w:p>
    <w:p w:rsidR="006C23B6" w:rsidRDefault="006C23B6">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4513"/>
        <w:gridCol w:w="4513"/>
      </w:tblGrid>
      <w:tr w:rsidR="006C23B6">
        <w:tblPrEx>
          <w:tblCellMar>
            <w:top w:w="0" w:type="dxa"/>
            <w:bottom w:w="0" w:type="dxa"/>
          </w:tblCellMar>
        </w:tblPrEx>
        <w:tc>
          <w:tcPr>
            <w:tcW w:w="45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C23B6" w:rsidRDefault="003E5005">
            <w:r>
              <w:rPr>
                <w:b/>
                <w:bCs/>
                <w:color w:val="FFFFFF"/>
                <w:sz w:val="19"/>
                <w:szCs w:val="19"/>
              </w:rPr>
              <w:t>Protected under Equality Act 2010</w:t>
            </w:r>
          </w:p>
        </w:tc>
        <w:tc>
          <w:tcPr>
            <w:tcW w:w="45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C23B6" w:rsidRDefault="003E5005">
            <w:r>
              <w:rPr>
                <w:b/>
                <w:bCs/>
                <w:color w:val="FFFFFF"/>
                <w:sz w:val="19"/>
                <w:szCs w:val="19"/>
              </w:rPr>
              <w:t>Further Characteristics We Respect</w:t>
            </w:r>
          </w:p>
        </w:tc>
      </w:tr>
      <w:tr w:rsidR="006C23B6">
        <w:tblPrEx>
          <w:tblCellMar>
            <w:top w:w="0" w:type="dxa"/>
            <w:bottom w:w="0" w:type="dxa"/>
          </w:tblCellMar>
        </w:tblPrEx>
        <w:tc>
          <w:tcPr>
            <w:tcW w:w="45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pPr>
              <w:pStyle w:val="ListParagraph"/>
              <w:numPr>
                <w:ilvl w:val="0"/>
                <w:numId w:val="2"/>
              </w:numPr>
              <w:spacing w:before="20" w:after="20"/>
            </w:pPr>
            <w:r>
              <w:rPr>
                <w:sz w:val="19"/>
                <w:szCs w:val="19"/>
              </w:rPr>
              <w:t>Age</w:t>
            </w:r>
          </w:p>
          <w:p w:rsidR="006C23B6" w:rsidRDefault="003E5005">
            <w:pPr>
              <w:pStyle w:val="ListParagraph"/>
              <w:numPr>
                <w:ilvl w:val="0"/>
                <w:numId w:val="2"/>
              </w:numPr>
              <w:spacing w:before="20" w:after="20"/>
            </w:pPr>
            <w:r>
              <w:rPr>
                <w:sz w:val="19"/>
                <w:szCs w:val="19"/>
              </w:rPr>
              <w:lastRenderedPageBreak/>
              <w:t>Disability (including physical, mental, and cognitive)</w:t>
            </w:r>
          </w:p>
          <w:p w:rsidR="006C23B6" w:rsidRDefault="003E5005">
            <w:pPr>
              <w:pStyle w:val="ListParagraph"/>
              <w:numPr>
                <w:ilvl w:val="0"/>
                <w:numId w:val="2"/>
              </w:numPr>
              <w:spacing w:before="20" w:after="20"/>
            </w:pPr>
            <w:r>
              <w:rPr>
                <w:sz w:val="19"/>
                <w:szCs w:val="19"/>
              </w:rPr>
              <w:t>Gender reassignment</w:t>
            </w:r>
          </w:p>
          <w:p w:rsidR="006C23B6" w:rsidRDefault="003E5005">
            <w:pPr>
              <w:pStyle w:val="ListParagraph"/>
              <w:numPr>
                <w:ilvl w:val="0"/>
                <w:numId w:val="2"/>
              </w:numPr>
              <w:spacing w:before="20" w:after="20"/>
            </w:pPr>
            <w:r>
              <w:rPr>
                <w:sz w:val="19"/>
                <w:szCs w:val="19"/>
              </w:rPr>
              <w:t>Marriage and civil partnership</w:t>
            </w:r>
          </w:p>
          <w:p w:rsidR="006C23B6" w:rsidRDefault="003E5005">
            <w:pPr>
              <w:pStyle w:val="ListParagraph"/>
              <w:numPr>
                <w:ilvl w:val="0"/>
                <w:numId w:val="2"/>
              </w:numPr>
              <w:spacing w:before="20" w:after="20"/>
            </w:pPr>
            <w:r>
              <w:rPr>
                <w:sz w:val="19"/>
                <w:szCs w:val="19"/>
              </w:rPr>
              <w:t>Pregnancy and maternity</w:t>
            </w:r>
          </w:p>
          <w:p w:rsidR="006C23B6" w:rsidRDefault="003E5005">
            <w:pPr>
              <w:pStyle w:val="ListParagraph"/>
              <w:numPr>
                <w:ilvl w:val="0"/>
                <w:numId w:val="2"/>
              </w:numPr>
              <w:spacing w:before="20" w:after="20"/>
            </w:pPr>
            <w:r>
              <w:rPr>
                <w:sz w:val="19"/>
                <w:szCs w:val="19"/>
              </w:rPr>
              <w:t>Race (including colour, nationality, ethnic or national origin)</w:t>
            </w:r>
          </w:p>
          <w:p w:rsidR="006C23B6" w:rsidRDefault="003E5005">
            <w:pPr>
              <w:pStyle w:val="ListParagraph"/>
              <w:numPr>
                <w:ilvl w:val="0"/>
                <w:numId w:val="2"/>
              </w:numPr>
              <w:spacing w:before="20" w:after="20"/>
            </w:pPr>
            <w:r>
              <w:rPr>
                <w:sz w:val="19"/>
                <w:szCs w:val="19"/>
              </w:rPr>
              <w:t>Religion or belief</w:t>
            </w:r>
          </w:p>
          <w:p w:rsidR="006C23B6" w:rsidRDefault="003E5005">
            <w:pPr>
              <w:pStyle w:val="ListParagraph"/>
              <w:numPr>
                <w:ilvl w:val="0"/>
                <w:numId w:val="2"/>
              </w:numPr>
              <w:spacing w:before="20" w:after="20"/>
            </w:pPr>
            <w:r>
              <w:rPr>
                <w:sz w:val="19"/>
                <w:szCs w:val="19"/>
              </w:rPr>
              <w:t>Sex</w:t>
            </w:r>
          </w:p>
          <w:p w:rsidR="006C23B6" w:rsidRDefault="003E5005">
            <w:pPr>
              <w:pStyle w:val="ListParagraph"/>
              <w:numPr>
                <w:ilvl w:val="0"/>
                <w:numId w:val="2"/>
              </w:numPr>
              <w:spacing w:before="20" w:after="20"/>
            </w:pPr>
            <w:r>
              <w:rPr>
                <w:sz w:val="19"/>
                <w:szCs w:val="19"/>
              </w:rPr>
              <w:t>Sexual orientation</w:t>
            </w:r>
          </w:p>
        </w:tc>
        <w:tc>
          <w:tcPr>
            <w:tcW w:w="45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pPr>
              <w:pStyle w:val="ListParagraph"/>
              <w:numPr>
                <w:ilvl w:val="0"/>
                <w:numId w:val="2"/>
              </w:numPr>
              <w:spacing w:before="20" w:after="20"/>
            </w:pPr>
            <w:r>
              <w:rPr>
                <w:sz w:val="19"/>
                <w:szCs w:val="19"/>
              </w:rPr>
              <w:lastRenderedPageBreak/>
              <w:t xml:space="preserve">Neurodiversity (e.g., autism, ADHD, </w:t>
            </w:r>
            <w:r>
              <w:rPr>
                <w:sz w:val="19"/>
                <w:szCs w:val="19"/>
              </w:rPr>
              <w:lastRenderedPageBreak/>
              <w:t>dyslexia, dyspraxia)</w:t>
            </w:r>
          </w:p>
          <w:p w:rsidR="006C23B6" w:rsidRDefault="003E5005">
            <w:pPr>
              <w:pStyle w:val="ListParagraph"/>
              <w:numPr>
                <w:ilvl w:val="0"/>
                <w:numId w:val="2"/>
              </w:numPr>
              <w:spacing w:before="20" w:after="20"/>
            </w:pPr>
            <w:r>
              <w:rPr>
                <w:sz w:val="19"/>
                <w:szCs w:val="19"/>
              </w:rPr>
              <w:t>Mental health conditions</w:t>
            </w:r>
          </w:p>
          <w:p w:rsidR="006C23B6" w:rsidRDefault="003E5005">
            <w:pPr>
              <w:pStyle w:val="ListParagraph"/>
              <w:numPr>
                <w:ilvl w:val="0"/>
                <w:numId w:val="2"/>
              </w:numPr>
              <w:spacing w:before="20" w:after="20"/>
            </w:pPr>
            <w:r>
              <w:rPr>
                <w:sz w:val="19"/>
                <w:szCs w:val="19"/>
              </w:rPr>
              <w:t>Socioeconomic background</w:t>
            </w:r>
          </w:p>
          <w:p w:rsidR="006C23B6" w:rsidRDefault="003E5005">
            <w:pPr>
              <w:pStyle w:val="ListParagraph"/>
              <w:numPr>
                <w:ilvl w:val="0"/>
                <w:numId w:val="2"/>
              </w:numPr>
              <w:spacing w:before="20" w:after="20"/>
            </w:pPr>
            <w:r>
              <w:rPr>
                <w:sz w:val="19"/>
                <w:szCs w:val="19"/>
              </w:rPr>
              <w:t>Caregiver or carer status</w:t>
            </w:r>
          </w:p>
          <w:p w:rsidR="006C23B6" w:rsidRDefault="003E5005">
            <w:pPr>
              <w:pStyle w:val="ListParagraph"/>
              <w:numPr>
                <w:ilvl w:val="0"/>
                <w:numId w:val="2"/>
              </w:numPr>
              <w:spacing w:before="20" w:after="20"/>
            </w:pPr>
            <w:r>
              <w:rPr>
                <w:sz w:val="19"/>
                <w:szCs w:val="19"/>
              </w:rPr>
              <w:t>Non-binary and ge</w:t>
            </w:r>
            <w:r>
              <w:rPr>
                <w:sz w:val="19"/>
                <w:szCs w:val="19"/>
              </w:rPr>
              <w:t>nder non-conforming identities</w:t>
            </w:r>
          </w:p>
          <w:p w:rsidR="006C23B6" w:rsidRDefault="003E5005">
            <w:pPr>
              <w:pStyle w:val="ListParagraph"/>
              <w:numPr>
                <w:ilvl w:val="0"/>
                <w:numId w:val="2"/>
              </w:numPr>
              <w:spacing w:before="20" w:after="20"/>
            </w:pPr>
            <w:r>
              <w:rPr>
                <w:sz w:val="19"/>
                <w:szCs w:val="19"/>
              </w:rPr>
              <w:t>Chronic health conditions not meeting the EA 2010 disability threshold</w:t>
            </w:r>
          </w:p>
          <w:p w:rsidR="006C23B6" w:rsidRDefault="003E5005">
            <w:pPr>
              <w:pStyle w:val="ListParagraph"/>
              <w:numPr>
                <w:ilvl w:val="0"/>
                <w:numId w:val="2"/>
              </w:numPr>
              <w:spacing w:before="20" w:after="20"/>
            </w:pPr>
            <w:r>
              <w:rPr>
                <w:sz w:val="19"/>
                <w:szCs w:val="19"/>
              </w:rPr>
              <w:t>Lived experience of disadvantage</w:t>
            </w:r>
          </w:p>
        </w:tc>
      </w:tr>
    </w:tbl>
    <w:p w:rsidR="006C23B6" w:rsidRDefault="006C23B6">
      <w:pPr>
        <w:spacing w:before="80"/>
      </w:pPr>
    </w:p>
    <w:p w:rsidR="006C23B6" w:rsidRDefault="003E5005">
      <w:pPr>
        <w:spacing w:before="60" w:after="100"/>
      </w:pPr>
      <w:r>
        <w:rPr>
          <w:color w:val="1A1A2E"/>
        </w:rPr>
        <w:t>Holding a characteristic listed above does not affect the content, rigour, or outcome of any OH assessment. Recommendations in OH reports are based solely on clinical evidence and functional capacity, not on assumptions derived from any personal characteri</w:t>
      </w:r>
      <w:r>
        <w:rPr>
          <w:color w:val="1A1A2E"/>
        </w:rPr>
        <w:t>stic.</w:t>
      </w:r>
    </w:p>
    <w:p w:rsidR="006C23B6" w:rsidRDefault="006C23B6">
      <w:pPr>
        <w:spacing w:before="80"/>
      </w:pPr>
    </w:p>
    <w:p w:rsidR="006C23B6" w:rsidRDefault="003E5005">
      <w:pPr>
        <w:spacing w:before="400" w:after="120"/>
      </w:pPr>
      <w:r>
        <w:rPr>
          <w:b/>
          <w:bCs/>
          <w:color w:val="1B3A6B"/>
          <w:sz w:val="28"/>
          <w:szCs w:val="28"/>
        </w:rPr>
        <w:t>4.  Equality and Diversity in Clinical Practice</w:t>
      </w:r>
    </w:p>
    <w:p w:rsidR="006C23B6" w:rsidRDefault="006C23B6">
      <w:pPr>
        <w:pBdr>
          <w:bottom w:val="single" w:sz="6" w:space="1" w:color="1B3A6B"/>
        </w:pBdr>
        <w:spacing w:before="60" w:after="200"/>
      </w:pPr>
    </w:p>
    <w:p w:rsidR="006C23B6" w:rsidRDefault="003E5005">
      <w:pPr>
        <w:spacing w:before="60" w:after="100"/>
      </w:pPr>
      <w:r>
        <w:rPr>
          <w:color w:val="1A1A2E"/>
        </w:rPr>
        <w:t>Occupational health sits at the intersection of healthcare and employment law. The Equality Act 2010 places specific obligations on employers in relation to disabled employees, and OH reports often pl</w:t>
      </w:r>
      <w:r>
        <w:rPr>
          <w:color w:val="1A1A2E"/>
        </w:rPr>
        <w:t>ay a central role in informing those obligations. This section sets out how HealthBridge approaches these responsibilities.</w:t>
      </w:r>
    </w:p>
    <w:p w:rsidR="006C23B6" w:rsidRDefault="006C23B6">
      <w:pPr>
        <w:spacing w:before="60"/>
      </w:pPr>
    </w:p>
    <w:p w:rsidR="006C23B6" w:rsidRDefault="003E5005">
      <w:pPr>
        <w:spacing w:before="280" w:after="100"/>
      </w:pPr>
      <w:proofErr w:type="gramStart"/>
      <w:r>
        <w:rPr>
          <w:b/>
          <w:bCs/>
          <w:color w:val="1B3A6B"/>
          <w:sz w:val="22"/>
          <w:szCs w:val="22"/>
        </w:rPr>
        <w:t>4.1  Disability</w:t>
      </w:r>
      <w:proofErr w:type="gramEnd"/>
      <w:r>
        <w:rPr>
          <w:b/>
          <w:bCs/>
          <w:color w:val="1B3A6B"/>
          <w:sz w:val="22"/>
          <w:szCs w:val="22"/>
        </w:rPr>
        <w:t xml:space="preserve"> Determinations and the Equality Act 2010</w:t>
      </w:r>
    </w:p>
    <w:p w:rsidR="006C23B6" w:rsidRDefault="006C23B6">
      <w:pPr>
        <w:spacing w:before="4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6C23B6">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6C23B6" w:rsidRDefault="003E5005">
            <w:r>
              <w:rPr>
                <w:i/>
                <w:iCs/>
                <w:color w:val="1B3A6B"/>
                <w:sz w:val="19"/>
                <w:szCs w:val="19"/>
              </w:rPr>
              <w:t xml:space="preserve">Important: HealthBridge does not make legal determinations of disability </w:t>
            </w:r>
            <w:r>
              <w:rPr>
                <w:i/>
                <w:iCs/>
                <w:color w:val="1B3A6B"/>
                <w:sz w:val="19"/>
                <w:szCs w:val="19"/>
              </w:rPr>
              <w:t>under the Equality Act 2010 — that is a matter for the employer and, if disputed, for an Employment Tribunal. However, as part of every assessment, the Clinical Lead considers whether the employee's condition may meet the Act's definition and advises the e</w:t>
            </w:r>
            <w:r>
              <w:rPr>
                <w:i/>
                <w:iCs/>
                <w:color w:val="1B3A6B"/>
                <w:sz w:val="19"/>
                <w:szCs w:val="19"/>
              </w:rPr>
              <w:t>mployer accordingly.</w:t>
            </w:r>
          </w:p>
        </w:tc>
      </w:tr>
    </w:tbl>
    <w:p w:rsidR="006C23B6" w:rsidRDefault="006C23B6">
      <w:pPr>
        <w:spacing w:before="100"/>
      </w:pPr>
    </w:p>
    <w:p w:rsidR="006C23B6" w:rsidRDefault="003E5005">
      <w:pPr>
        <w:spacing w:before="60" w:after="100"/>
      </w:pPr>
      <w:r>
        <w:rPr>
          <w:color w:val="1A1A2E"/>
        </w:rPr>
        <w:t>Where an employee's condition may meet the EA 2010 definition of disability (a physical or mental impairment that has a substantial and long-term adverse effect on normal day-to-day activities), the OH report will:</w:t>
      </w:r>
    </w:p>
    <w:p w:rsidR="006C23B6" w:rsidRDefault="003E5005">
      <w:pPr>
        <w:pStyle w:val="ListParagraph"/>
        <w:numPr>
          <w:ilvl w:val="0"/>
          <w:numId w:val="2"/>
        </w:numPr>
        <w:spacing w:before="40" w:after="40"/>
      </w:pPr>
      <w:r>
        <w:t>Note that the condition may be capable of meeting the EA 2010 definition of disability, with relevant clinical rationale</w:t>
      </w:r>
    </w:p>
    <w:p w:rsidR="006C23B6" w:rsidRDefault="003E5005">
      <w:pPr>
        <w:pStyle w:val="ListParagraph"/>
        <w:numPr>
          <w:ilvl w:val="0"/>
          <w:numId w:val="2"/>
        </w:numPr>
        <w:spacing w:before="40" w:after="40"/>
      </w:pPr>
      <w:r>
        <w:t>Advise the employer to take appropriate legal advice if uncertain whether a duty to make reasonable adjustments arises</w:t>
      </w:r>
    </w:p>
    <w:p w:rsidR="006C23B6" w:rsidRDefault="003E5005">
      <w:pPr>
        <w:pStyle w:val="ListParagraph"/>
        <w:numPr>
          <w:ilvl w:val="0"/>
          <w:numId w:val="2"/>
        </w:numPr>
        <w:spacing w:before="40" w:after="40"/>
      </w:pPr>
      <w:r>
        <w:t>Provide function</w:t>
      </w:r>
      <w:r>
        <w:t>al recommendations to assist the employer in fulfilling any reasonable adjustment duties</w:t>
      </w:r>
    </w:p>
    <w:p w:rsidR="006C23B6" w:rsidRDefault="003E5005">
      <w:pPr>
        <w:pStyle w:val="ListParagraph"/>
        <w:numPr>
          <w:ilvl w:val="0"/>
          <w:numId w:val="2"/>
        </w:numPr>
        <w:spacing w:before="40" w:after="40"/>
      </w:pPr>
      <w:r>
        <w:t>Avoid clinical language that understates or overstates functional impact in ways that may disadvantage the employee</w:t>
      </w:r>
    </w:p>
    <w:p w:rsidR="006C23B6" w:rsidRDefault="006C23B6">
      <w:pPr>
        <w:spacing w:before="80"/>
      </w:pPr>
    </w:p>
    <w:p w:rsidR="006C23B6" w:rsidRDefault="003E5005">
      <w:pPr>
        <w:spacing w:before="280" w:after="100"/>
      </w:pPr>
      <w:proofErr w:type="gramStart"/>
      <w:r>
        <w:rPr>
          <w:b/>
          <w:bCs/>
          <w:color w:val="1B3A6B"/>
          <w:sz w:val="22"/>
          <w:szCs w:val="22"/>
        </w:rPr>
        <w:t>4.2  Reasonable</w:t>
      </w:r>
      <w:proofErr w:type="gramEnd"/>
      <w:r>
        <w:rPr>
          <w:b/>
          <w:bCs/>
          <w:color w:val="1B3A6B"/>
          <w:sz w:val="22"/>
          <w:szCs w:val="22"/>
        </w:rPr>
        <w:t xml:space="preserve"> Adjustments in the Assessment Proc</w:t>
      </w:r>
      <w:r>
        <w:rPr>
          <w:b/>
          <w:bCs/>
          <w:color w:val="1B3A6B"/>
          <w:sz w:val="22"/>
          <w:szCs w:val="22"/>
        </w:rPr>
        <w:t>ess</w:t>
      </w:r>
    </w:p>
    <w:p w:rsidR="006C23B6" w:rsidRDefault="003E5005">
      <w:pPr>
        <w:spacing w:before="60" w:after="100"/>
      </w:pPr>
      <w:r>
        <w:rPr>
          <w:color w:val="1A1A2E"/>
        </w:rPr>
        <w:t>The duty to make reasonable adjustments under the EA 2010 applies to HealthBridge's own assessment process as well as to the advice we provide to employers. Where an employee has a known disability or access need:</w:t>
      </w:r>
    </w:p>
    <w:p w:rsidR="006C23B6" w:rsidRDefault="003E5005">
      <w:pPr>
        <w:pStyle w:val="ListParagraph"/>
        <w:numPr>
          <w:ilvl w:val="0"/>
          <w:numId w:val="2"/>
        </w:numPr>
        <w:spacing w:before="40" w:after="40"/>
      </w:pPr>
      <w:r>
        <w:t xml:space="preserve">The assessment format will be adapted </w:t>
      </w:r>
      <w:r>
        <w:t>where feasible (e.g., extended appointment time, written communication support, BSL interpretation)</w:t>
      </w:r>
    </w:p>
    <w:p w:rsidR="006C23B6" w:rsidRDefault="003E5005">
      <w:pPr>
        <w:pStyle w:val="ListParagraph"/>
        <w:numPr>
          <w:ilvl w:val="0"/>
          <w:numId w:val="2"/>
        </w:numPr>
        <w:spacing w:before="40" w:after="40"/>
      </w:pPr>
      <w:r>
        <w:t>Communication style will be adjusted to the employee's needs and preferences</w:t>
      </w:r>
    </w:p>
    <w:p w:rsidR="006C23B6" w:rsidRDefault="003E5005">
      <w:pPr>
        <w:pStyle w:val="ListParagraph"/>
        <w:numPr>
          <w:ilvl w:val="0"/>
          <w:numId w:val="2"/>
        </w:numPr>
        <w:spacing w:before="40" w:after="40"/>
      </w:pPr>
      <w:r>
        <w:lastRenderedPageBreak/>
        <w:t>Referrals that require in-person assessment for accessibility reasons will be considered and discussed with the employer — HealthBridge's default remote delivery is itself an accessibility measure for many employees</w:t>
      </w:r>
    </w:p>
    <w:p w:rsidR="006C23B6" w:rsidRDefault="006C23B6">
      <w:pPr>
        <w:spacing w:before="80"/>
      </w:pPr>
    </w:p>
    <w:p w:rsidR="006C23B6" w:rsidRDefault="003E5005">
      <w:pPr>
        <w:spacing w:before="280" w:after="100"/>
      </w:pPr>
      <w:proofErr w:type="gramStart"/>
      <w:r>
        <w:rPr>
          <w:b/>
          <w:bCs/>
          <w:color w:val="1B3A6B"/>
          <w:sz w:val="22"/>
          <w:szCs w:val="22"/>
        </w:rPr>
        <w:t>4.3  Clinical</w:t>
      </w:r>
      <w:proofErr w:type="gramEnd"/>
      <w:r>
        <w:rPr>
          <w:b/>
          <w:bCs/>
          <w:color w:val="1B3A6B"/>
          <w:sz w:val="22"/>
          <w:szCs w:val="22"/>
        </w:rPr>
        <w:t xml:space="preserve"> Bias</w:t>
      </w:r>
    </w:p>
    <w:p w:rsidR="006C23B6" w:rsidRDefault="003E5005">
      <w:pPr>
        <w:spacing w:before="60" w:after="100"/>
      </w:pPr>
      <w:r>
        <w:rPr>
          <w:color w:val="1A1A2E"/>
        </w:rPr>
        <w:t>The Clinical Lead is committed to maintaining clinical objectivity across all assessments. This means:</w:t>
      </w:r>
    </w:p>
    <w:p w:rsidR="006C23B6" w:rsidRDefault="003E5005">
      <w:pPr>
        <w:pStyle w:val="ListParagraph"/>
        <w:numPr>
          <w:ilvl w:val="0"/>
          <w:numId w:val="2"/>
        </w:numPr>
        <w:spacing w:before="40" w:after="40"/>
      </w:pPr>
      <w:r>
        <w:t>Not making assumptions about functional capacity based on protected characteristics, cultural background, or socioeconomic status</w:t>
      </w:r>
    </w:p>
    <w:p w:rsidR="006C23B6" w:rsidRDefault="003E5005">
      <w:pPr>
        <w:pStyle w:val="ListParagraph"/>
        <w:numPr>
          <w:ilvl w:val="0"/>
          <w:numId w:val="2"/>
        </w:numPr>
        <w:spacing w:before="40" w:after="40"/>
      </w:pPr>
      <w:r>
        <w:t>Applying the same clini</w:t>
      </w:r>
      <w:r>
        <w:t>cal rigour and standard of assessment regardless of the employee's background or the nature of the referral</w:t>
      </w:r>
    </w:p>
    <w:p w:rsidR="006C23B6" w:rsidRDefault="003E5005">
      <w:pPr>
        <w:pStyle w:val="ListParagraph"/>
        <w:numPr>
          <w:ilvl w:val="0"/>
          <w:numId w:val="2"/>
        </w:numPr>
        <w:spacing w:before="40" w:after="40"/>
      </w:pPr>
      <w:r>
        <w:t>Avoiding language in reports that pathologises protected characteristics or reflects cultural or implicit bias</w:t>
      </w:r>
    </w:p>
    <w:p w:rsidR="006C23B6" w:rsidRDefault="003E5005">
      <w:pPr>
        <w:pStyle w:val="ListParagraph"/>
        <w:numPr>
          <w:ilvl w:val="0"/>
          <w:numId w:val="2"/>
        </w:numPr>
        <w:spacing w:before="40" w:after="40"/>
      </w:pPr>
      <w:r>
        <w:t>Applying a neurodiversity-informed le</w:t>
      </w:r>
      <w:r>
        <w:t>ns in assessments involving employees with conditions such as autism, ADHD, dyslexia, or dyspraxia — recognising these as differences in cognitive processing rather than deficits</w:t>
      </w:r>
    </w:p>
    <w:p w:rsidR="006C23B6" w:rsidRDefault="003E5005">
      <w:pPr>
        <w:pStyle w:val="ListParagraph"/>
        <w:numPr>
          <w:ilvl w:val="0"/>
          <w:numId w:val="2"/>
        </w:numPr>
        <w:spacing w:before="40" w:after="40"/>
      </w:pPr>
      <w:r>
        <w:t>Annual CPD including unconscious bias and cultural competency learning, evide</w:t>
      </w:r>
      <w:r>
        <w:t>nced in the Clinical Lead's CPD record</w:t>
      </w:r>
    </w:p>
    <w:p w:rsidR="006C23B6" w:rsidRDefault="006C23B6">
      <w:pPr>
        <w:spacing w:before="80"/>
      </w:pPr>
    </w:p>
    <w:p w:rsidR="006C23B6" w:rsidRDefault="003E5005">
      <w:pPr>
        <w:spacing w:before="400" w:after="120"/>
      </w:pPr>
      <w:r>
        <w:rPr>
          <w:b/>
          <w:bCs/>
          <w:color w:val="1B3A6B"/>
          <w:sz w:val="28"/>
          <w:szCs w:val="28"/>
        </w:rPr>
        <w:t>5.  Accessible Service Delivery</w:t>
      </w:r>
    </w:p>
    <w:p w:rsidR="006C23B6" w:rsidRDefault="006C23B6">
      <w:pPr>
        <w:pBdr>
          <w:bottom w:val="single" w:sz="6" w:space="1" w:color="1B3A6B"/>
        </w:pBdr>
        <w:spacing w:before="60" w:after="200"/>
      </w:pPr>
    </w:p>
    <w:p w:rsidR="006C23B6" w:rsidRDefault="003E5005">
      <w:pPr>
        <w:spacing w:before="280" w:after="100"/>
      </w:pPr>
      <w:proofErr w:type="gramStart"/>
      <w:r>
        <w:rPr>
          <w:b/>
          <w:bCs/>
          <w:color w:val="1B3A6B"/>
          <w:sz w:val="22"/>
          <w:szCs w:val="22"/>
        </w:rPr>
        <w:t>5.1  Remote</w:t>
      </w:r>
      <w:proofErr w:type="gramEnd"/>
      <w:r>
        <w:rPr>
          <w:b/>
          <w:bCs/>
          <w:color w:val="1B3A6B"/>
          <w:sz w:val="22"/>
          <w:szCs w:val="22"/>
        </w:rPr>
        <w:t xml:space="preserve"> Assessment Accessibility</w:t>
      </w:r>
    </w:p>
    <w:p w:rsidR="006C23B6" w:rsidRDefault="003E5005">
      <w:pPr>
        <w:spacing w:before="60" w:after="100"/>
      </w:pPr>
      <w:r>
        <w:rPr>
          <w:color w:val="1A1A2E"/>
        </w:rPr>
        <w:t xml:space="preserve">All HealthBridge OH assessments are delivered remotely by video or telephone. Remote delivery itself reduces access barriers for many employees — </w:t>
      </w:r>
      <w:r>
        <w:rPr>
          <w:color w:val="1A1A2E"/>
        </w:rPr>
        <w:t>eliminating travel requirements and enabling assessment from a familiar, comfortable environment. Where remote delivery creates a specific access barrier for an individual employee, this will be discussed at the referral stage and alternatives considered.</w:t>
      </w:r>
    </w:p>
    <w:p w:rsidR="006C23B6" w:rsidRDefault="006C23B6">
      <w:pPr>
        <w:spacing w:before="60"/>
      </w:pPr>
    </w:p>
    <w:p w:rsidR="006C23B6" w:rsidRDefault="003E5005">
      <w:pPr>
        <w:pStyle w:val="ListParagraph"/>
        <w:numPr>
          <w:ilvl w:val="0"/>
          <w:numId w:val="2"/>
        </w:numPr>
        <w:spacing w:before="40" w:after="40"/>
      </w:pPr>
      <w:r>
        <w:t>Video assessments are conducted via an end-to-end encrypted platform that meets UK GDPR requirements</w:t>
      </w:r>
    </w:p>
    <w:p w:rsidR="006C23B6" w:rsidRDefault="003E5005">
      <w:pPr>
        <w:pStyle w:val="ListParagraph"/>
        <w:numPr>
          <w:ilvl w:val="0"/>
          <w:numId w:val="2"/>
        </w:numPr>
        <w:spacing w:before="40" w:after="40"/>
      </w:pPr>
      <w:r>
        <w:t>Telephone assessment is available as an alternative where video access is limited</w:t>
      </w:r>
    </w:p>
    <w:p w:rsidR="006C23B6" w:rsidRDefault="003E5005">
      <w:pPr>
        <w:pStyle w:val="ListParagraph"/>
        <w:numPr>
          <w:ilvl w:val="0"/>
          <w:numId w:val="2"/>
        </w:numPr>
        <w:spacing w:before="40" w:after="40"/>
      </w:pPr>
      <w:r>
        <w:t>All sessions take place at a time agreed with the employee, with flexibi</w:t>
      </w:r>
      <w:r>
        <w:t>lity to accommodate shift patterns, caring responsibilities, or medical scheduling needs where possible</w:t>
      </w:r>
    </w:p>
    <w:p w:rsidR="006C23B6" w:rsidRDefault="006C23B6">
      <w:pPr>
        <w:spacing w:before="80"/>
      </w:pPr>
    </w:p>
    <w:p w:rsidR="006C23B6" w:rsidRDefault="003E5005">
      <w:pPr>
        <w:spacing w:before="280" w:after="100"/>
      </w:pPr>
      <w:proofErr w:type="gramStart"/>
      <w:r>
        <w:rPr>
          <w:b/>
          <w:bCs/>
          <w:color w:val="1B3A6B"/>
          <w:sz w:val="22"/>
          <w:szCs w:val="22"/>
        </w:rPr>
        <w:t>5.2  Language</w:t>
      </w:r>
      <w:proofErr w:type="gramEnd"/>
      <w:r>
        <w:rPr>
          <w:b/>
          <w:bCs/>
          <w:color w:val="1B3A6B"/>
          <w:sz w:val="22"/>
          <w:szCs w:val="22"/>
        </w:rPr>
        <w:t xml:space="preserve"> Support and Interpretation</w:t>
      </w:r>
    </w:p>
    <w:p w:rsidR="006C23B6" w:rsidRDefault="003E5005">
      <w:pPr>
        <w:spacing w:before="60" w:after="100"/>
      </w:pPr>
      <w:r>
        <w:rPr>
          <w:color w:val="1A1A2E"/>
        </w:rPr>
        <w:t>HealthBridge is committed to ensuring that language barriers do not compromise the quality or fairness of an O</w:t>
      </w:r>
      <w:r>
        <w:rPr>
          <w:color w:val="1A1A2E"/>
        </w:rPr>
        <w:t>H assessment. The following interpretation and translation support is available:</w:t>
      </w:r>
    </w:p>
    <w:p w:rsidR="006C23B6" w:rsidRDefault="006C23B6">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600"/>
        <w:gridCol w:w="3826"/>
        <w:gridCol w:w="2600"/>
      </w:tblGrid>
      <w:tr w:rsidR="006C23B6">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C23B6" w:rsidRDefault="003E5005">
            <w:r>
              <w:rPr>
                <w:b/>
                <w:bCs/>
                <w:color w:val="FFFFFF"/>
                <w:sz w:val="19"/>
                <w:szCs w:val="19"/>
              </w:rPr>
              <w:t>Support Type</w:t>
            </w:r>
          </w:p>
        </w:tc>
        <w:tc>
          <w:tcPr>
            <w:tcW w:w="38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C23B6" w:rsidRDefault="003E5005">
            <w:r>
              <w:rPr>
                <w:b/>
                <w:bCs/>
                <w:color w:val="FFFFFF"/>
                <w:sz w:val="19"/>
                <w:szCs w:val="19"/>
              </w:rPr>
              <w:t>Standards and Providers</w:t>
            </w:r>
          </w:p>
        </w:tc>
        <w:tc>
          <w:tcPr>
            <w:tcW w:w="26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C23B6" w:rsidRDefault="003E5005">
            <w:r>
              <w:rPr>
                <w:b/>
                <w:bCs/>
                <w:color w:val="FFFFFF"/>
                <w:sz w:val="19"/>
                <w:szCs w:val="19"/>
              </w:rPr>
              <w:t>Notice Required</w:t>
            </w:r>
          </w:p>
        </w:tc>
      </w:tr>
      <w:tr w:rsidR="006C23B6">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b/>
                <w:bCs/>
                <w:sz w:val="19"/>
                <w:szCs w:val="19"/>
              </w:rPr>
              <w:t>Spoken language interpretation (in-person or remote)</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NRPSI-registered interpreters (National Register of Public Service Interpreters) or equivalent accredited providers. Provider must have a signed confidentiality agreement aligned with UK GDPR before any assessment takes place.</w:t>
            </w:r>
          </w:p>
        </w:tc>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Minimum 48 hours preferred; u</w:t>
            </w:r>
            <w:r>
              <w:rPr>
                <w:sz w:val="19"/>
                <w:szCs w:val="19"/>
              </w:rPr>
              <w:t>rgent bookings accommodated where possible via Language Line telephone interpretation.</w:t>
            </w:r>
          </w:p>
        </w:tc>
      </w:tr>
      <w:tr w:rsidR="006C23B6">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b/>
                <w:bCs/>
                <w:sz w:val="19"/>
                <w:szCs w:val="19"/>
              </w:rPr>
              <w:t>British Sign Language (BSL) interpretation</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 xml:space="preserve">NRCPD-certified BSL interpreters (National Registers of Communication Professionals working with Deaf and Deafblind People). Remote video BSL interpretation (Video Remote Interpreting </w:t>
            </w:r>
            <w:r>
              <w:rPr>
                <w:sz w:val="19"/>
                <w:szCs w:val="19"/>
              </w:rPr>
              <w:lastRenderedPageBreak/>
              <w:t>/ VRI) is also available and may be arranged at shorter notice.</w:t>
            </w:r>
          </w:p>
        </w:tc>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lastRenderedPageBreak/>
              <w:t xml:space="preserve">Minimum </w:t>
            </w:r>
            <w:r>
              <w:rPr>
                <w:sz w:val="19"/>
                <w:szCs w:val="19"/>
              </w:rPr>
              <w:t>48 hours for pre-booked appointments. VRI may be available at shorter notice.</w:t>
            </w:r>
          </w:p>
        </w:tc>
      </w:tr>
      <w:tr w:rsidR="006C23B6">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b/>
                <w:bCs/>
                <w:sz w:val="19"/>
                <w:szCs w:val="19"/>
              </w:rPr>
              <w:lastRenderedPageBreak/>
              <w:t>Telephone interpretation (immediate or short-notice)</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Language Line Solutions or equivalent — provides real-time telephone or video interpretation in 240+ languages. Available wh</w:t>
            </w:r>
            <w:r>
              <w:rPr>
                <w:sz w:val="19"/>
                <w:szCs w:val="19"/>
              </w:rPr>
              <w:t>ere pre-booked interpreter is unavailable.</w:t>
            </w:r>
          </w:p>
        </w:tc>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Available at short notice — coordinated at the time of assessment if needed.</w:t>
            </w:r>
          </w:p>
        </w:tc>
      </w:tr>
      <w:tr w:rsidR="006C23B6">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b/>
                <w:bCs/>
                <w:sz w:val="19"/>
                <w:szCs w:val="19"/>
              </w:rPr>
              <w:t>Written translation of documents</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Key documents (pre-assessment information, Privacy Notice) can be translated on request via accredited</w:t>
            </w:r>
            <w:r>
              <w:rPr>
                <w:sz w:val="19"/>
                <w:szCs w:val="19"/>
              </w:rPr>
              <w:t xml:space="preserve"> providers. The OH report itself is produced in English; if a translated summary is required, this is agreed with the referring employer.</w:t>
            </w:r>
          </w:p>
        </w:tc>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Minimum 5 working days for written translation.</w:t>
            </w:r>
          </w:p>
        </w:tc>
      </w:tr>
    </w:tbl>
    <w:p w:rsidR="006C23B6" w:rsidRDefault="006C23B6">
      <w:pPr>
        <w:spacing w:before="8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6C23B6">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6C23B6" w:rsidRDefault="003E5005">
            <w:r>
              <w:rPr>
                <w:i/>
                <w:iCs/>
                <w:color w:val="1B3A6B"/>
                <w:sz w:val="19"/>
                <w:szCs w:val="19"/>
              </w:rPr>
              <w:t>Family members, friends, or colleagues must not be used as interpreters in OH assessments. Using a non-professional interpreter risks compromising confidentiality, accuracy, and the validity of the assessment. Where a professional interpreter cannot be arr</w:t>
            </w:r>
            <w:r>
              <w:rPr>
                <w:i/>
                <w:iCs/>
                <w:color w:val="1B3A6B"/>
                <w:sz w:val="19"/>
                <w:szCs w:val="19"/>
              </w:rPr>
              <w:t>anged in time, the assessment will be rescheduled rather than proceed without appropriate support.</w:t>
            </w:r>
          </w:p>
        </w:tc>
      </w:tr>
    </w:tbl>
    <w:p w:rsidR="006C23B6" w:rsidRDefault="006C23B6">
      <w:pPr>
        <w:spacing w:before="100"/>
      </w:pPr>
    </w:p>
    <w:p w:rsidR="006C23B6" w:rsidRDefault="003E5005">
      <w:pPr>
        <w:spacing w:before="60" w:after="100"/>
      </w:pPr>
      <w:r>
        <w:rPr>
          <w:color w:val="1A1A2E"/>
        </w:rPr>
        <w:t xml:space="preserve">Interpretation needs should ideally be identified at the referral stage by the referring employer and communicated to HealthBridge at the time of booking. </w:t>
      </w:r>
      <w:r>
        <w:rPr>
          <w:color w:val="1A1A2E"/>
        </w:rPr>
        <w:t>Where an employee identifies a language need on the day of assessment, every reasonable effort will be made to source appropriate support before proceeding.</w:t>
      </w:r>
    </w:p>
    <w:p w:rsidR="006C23B6" w:rsidRDefault="006C23B6">
      <w:pPr>
        <w:spacing w:before="80"/>
      </w:pPr>
    </w:p>
    <w:p w:rsidR="006C23B6" w:rsidRDefault="003E5005">
      <w:pPr>
        <w:spacing w:before="280" w:after="100"/>
      </w:pPr>
      <w:proofErr w:type="gramStart"/>
      <w:r>
        <w:rPr>
          <w:b/>
          <w:bCs/>
          <w:color w:val="1B3A6B"/>
          <w:sz w:val="22"/>
          <w:szCs w:val="22"/>
        </w:rPr>
        <w:t>5.3  Document</w:t>
      </w:r>
      <w:proofErr w:type="gramEnd"/>
      <w:r>
        <w:rPr>
          <w:b/>
          <w:bCs/>
          <w:color w:val="1B3A6B"/>
          <w:sz w:val="22"/>
          <w:szCs w:val="22"/>
        </w:rPr>
        <w:t xml:space="preserve"> Accessibility</w:t>
      </w:r>
    </w:p>
    <w:p w:rsidR="006C23B6" w:rsidRDefault="003E5005">
      <w:pPr>
        <w:spacing w:before="60" w:after="100"/>
      </w:pPr>
      <w:r>
        <w:rPr>
          <w:color w:val="1A1A2E"/>
        </w:rPr>
        <w:t>HealthBridge will provide key communications and documents in accessib</w:t>
      </w:r>
      <w:r>
        <w:rPr>
          <w:color w:val="1A1A2E"/>
        </w:rPr>
        <w:t>le formats on request:</w:t>
      </w:r>
    </w:p>
    <w:p w:rsidR="006C23B6" w:rsidRDefault="006C23B6">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000"/>
        <w:gridCol w:w="6026"/>
      </w:tblGrid>
      <w:tr w:rsidR="006C23B6">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C23B6" w:rsidRDefault="003E5005">
            <w:r>
              <w:rPr>
                <w:b/>
                <w:bCs/>
                <w:color w:val="FFFFFF"/>
                <w:sz w:val="19"/>
                <w:szCs w:val="19"/>
              </w:rPr>
              <w:t>Format</w:t>
            </w:r>
          </w:p>
        </w:tc>
        <w:tc>
          <w:tcPr>
            <w:tcW w:w="60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C23B6" w:rsidRDefault="003E5005">
            <w:r>
              <w:rPr>
                <w:b/>
                <w:bCs/>
                <w:color w:val="FFFFFF"/>
                <w:sz w:val="19"/>
                <w:szCs w:val="19"/>
              </w:rPr>
              <w:t>Availability and Delivery</w:t>
            </w:r>
          </w:p>
        </w:tc>
      </w:tr>
      <w:tr w:rsidR="006C23B6">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b/>
                <w:bCs/>
                <w:sz w:val="19"/>
                <w:szCs w:val="19"/>
              </w:rPr>
              <w:t>Large print</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Available on request. Sent by secure email as formatted document or by post within 5 working days.</w:t>
            </w:r>
          </w:p>
        </w:tc>
      </w:tr>
      <w:tr w:rsidR="006C23B6">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b/>
                <w:bCs/>
                <w:sz w:val="19"/>
                <w:szCs w:val="19"/>
              </w:rPr>
              <w:t>Easy Read</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Simplified language version of key documents available on request. Delivered by secure email within 48 hours (24 hours for urgent requests).</w:t>
            </w:r>
          </w:p>
        </w:tc>
      </w:tr>
      <w:tr w:rsidR="006C23B6">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b/>
                <w:bCs/>
                <w:sz w:val="19"/>
                <w:szCs w:val="19"/>
              </w:rPr>
              <w:t>Audio format</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Audio versions of key information documents available on request, delivered by secure email within 48</w:t>
            </w:r>
            <w:r>
              <w:rPr>
                <w:sz w:val="19"/>
                <w:szCs w:val="19"/>
              </w:rPr>
              <w:t xml:space="preserve"> hours.</w:t>
            </w:r>
          </w:p>
        </w:tc>
      </w:tr>
      <w:tr w:rsidR="006C23B6">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b/>
                <w:bCs/>
                <w:sz w:val="19"/>
                <w:szCs w:val="19"/>
              </w:rPr>
              <w:t>Braille</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Available for key documents on request. Produced via specialist provider and posted within 5 working days.</w:t>
            </w:r>
          </w:p>
        </w:tc>
      </w:tr>
      <w:tr w:rsidR="006C23B6">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b/>
                <w:bCs/>
                <w:sz w:val="19"/>
                <w:szCs w:val="19"/>
              </w:rPr>
              <w:t>Alternative communication channel</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Where standard written communication is not accessible, alternative arrangements (e.g., verbal co</w:t>
            </w:r>
            <w:r>
              <w:rPr>
                <w:sz w:val="19"/>
                <w:szCs w:val="19"/>
              </w:rPr>
              <w:t>mmunication of key information with written follow-up) will be made on request.</w:t>
            </w:r>
          </w:p>
        </w:tc>
      </w:tr>
    </w:tbl>
    <w:p w:rsidR="006C23B6" w:rsidRDefault="006C23B6">
      <w:pPr>
        <w:spacing w:before="80"/>
      </w:pPr>
    </w:p>
    <w:p w:rsidR="006C23B6" w:rsidRDefault="003E5005">
      <w:pPr>
        <w:spacing w:before="280" w:after="100"/>
      </w:pPr>
      <w:proofErr w:type="gramStart"/>
      <w:r>
        <w:rPr>
          <w:b/>
          <w:bCs/>
          <w:color w:val="1B3A6B"/>
          <w:sz w:val="22"/>
          <w:szCs w:val="22"/>
        </w:rPr>
        <w:t>5.4  Neurodiversity</w:t>
      </w:r>
      <w:proofErr w:type="gramEnd"/>
      <w:r>
        <w:rPr>
          <w:b/>
          <w:bCs/>
          <w:color w:val="1B3A6B"/>
          <w:sz w:val="22"/>
          <w:szCs w:val="22"/>
        </w:rPr>
        <w:t xml:space="preserve"> and Cognitive Accessibility</w:t>
      </w:r>
    </w:p>
    <w:p w:rsidR="006C23B6" w:rsidRDefault="003E5005">
      <w:pPr>
        <w:spacing w:before="60" w:after="100"/>
      </w:pPr>
      <w:r>
        <w:rPr>
          <w:color w:val="1A1A2E"/>
        </w:rPr>
        <w:t>HealthBridge recognises that neurodivergent employees may experience aspects of the standard OH assessment process as challenging. The following adaptations are available:</w:t>
      </w:r>
    </w:p>
    <w:p w:rsidR="006C23B6" w:rsidRDefault="003E5005">
      <w:pPr>
        <w:pStyle w:val="ListParagraph"/>
        <w:numPr>
          <w:ilvl w:val="0"/>
          <w:numId w:val="2"/>
        </w:numPr>
        <w:spacing w:before="40" w:after="40"/>
      </w:pPr>
      <w:r>
        <w:t>Extended appointment time on request, without additional charge</w:t>
      </w:r>
    </w:p>
    <w:p w:rsidR="006C23B6" w:rsidRDefault="003E5005">
      <w:pPr>
        <w:pStyle w:val="ListParagraph"/>
        <w:numPr>
          <w:ilvl w:val="0"/>
          <w:numId w:val="2"/>
        </w:numPr>
        <w:spacing w:before="40" w:after="40"/>
      </w:pPr>
      <w:r>
        <w:t>Written summary of key points provided after the consultation by secure email, on request</w:t>
      </w:r>
    </w:p>
    <w:p w:rsidR="006C23B6" w:rsidRDefault="003E5005">
      <w:pPr>
        <w:pStyle w:val="ListParagraph"/>
        <w:numPr>
          <w:ilvl w:val="0"/>
          <w:numId w:val="2"/>
        </w:numPr>
        <w:spacing w:before="40" w:after="40"/>
      </w:pPr>
      <w:r>
        <w:t>Use of plain, direct language without idiom or ambiguity during the assessment</w:t>
      </w:r>
    </w:p>
    <w:p w:rsidR="006C23B6" w:rsidRDefault="003E5005">
      <w:pPr>
        <w:pStyle w:val="ListParagraph"/>
        <w:numPr>
          <w:ilvl w:val="0"/>
          <w:numId w:val="2"/>
        </w:numPr>
        <w:spacing w:before="40" w:after="40"/>
      </w:pPr>
      <w:r>
        <w:lastRenderedPageBreak/>
        <w:t>Assessment format adjusted where possible (e.g., reduced visual complexity in video ass</w:t>
      </w:r>
      <w:r>
        <w:t>essments, structured agenda shared in advance)</w:t>
      </w:r>
    </w:p>
    <w:p w:rsidR="006C23B6" w:rsidRDefault="003E5005">
      <w:pPr>
        <w:pStyle w:val="ListParagraph"/>
        <w:numPr>
          <w:ilvl w:val="0"/>
          <w:numId w:val="2"/>
        </w:numPr>
        <w:spacing w:before="40" w:after="40"/>
      </w:pPr>
      <w:r>
        <w:t>Employee informed in advance of the structure and duration of the assessment</w:t>
      </w:r>
    </w:p>
    <w:p w:rsidR="006C23B6" w:rsidRDefault="006C23B6">
      <w:pPr>
        <w:spacing w:before="60"/>
      </w:pPr>
    </w:p>
    <w:p w:rsidR="006C23B6" w:rsidRDefault="003E5005">
      <w:pPr>
        <w:spacing w:before="60" w:after="100"/>
      </w:pPr>
      <w:r>
        <w:rPr>
          <w:color w:val="1A1A2E"/>
        </w:rPr>
        <w:t xml:space="preserve">Needs should be communicated at the referral stage where possible, but will be accommodated on the day where identified during the </w:t>
      </w:r>
      <w:r>
        <w:rPr>
          <w:color w:val="1A1A2E"/>
        </w:rPr>
        <w:t>assessment. Adaptations made are noted in the clinical record and, with the employee's consent, may be referenced as context in the OH report.</w:t>
      </w:r>
    </w:p>
    <w:p w:rsidR="006C23B6" w:rsidRDefault="006C23B6">
      <w:pPr>
        <w:spacing w:before="80"/>
      </w:pPr>
    </w:p>
    <w:p w:rsidR="006C23B6" w:rsidRDefault="003E5005">
      <w:pPr>
        <w:spacing w:before="400" w:after="120"/>
      </w:pPr>
      <w:r>
        <w:rPr>
          <w:b/>
          <w:bCs/>
          <w:color w:val="1B3A6B"/>
          <w:sz w:val="28"/>
          <w:szCs w:val="28"/>
        </w:rPr>
        <w:t>6.  Zero-Tolerance Approach to Discrimination</w:t>
      </w:r>
    </w:p>
    <w:p w:rsidR="006C23B6" w:rsidRDefault="006C23B6">
      <w:pPr>
        <w:pBdr>
          <w:bottom w:val="single" w:sz="6" w:space="1" w:color="1B3A6B"/>
        </w:pBdr>
        <w:spacing w:before="60" w:after="200"/>
      </w:pPr>
    </w:p>
    <w:p w:rsidR="006C23B6" w:rsidRDefault="003E5005">
      <w:pPr>
        <w:spacing w:before="60" w:after="100"/>
      </w:pPr>
      <w:r>
        <w:rPr>
          <w:color w:val="1A1A2E"/>
        </w:rPr>
        <w:t>HealthBridge will not engage in or tolerate unlawful discriminati</w:t>
      </w:r>
      <w:r>
        <w:rPr>
          <w:color w:val="1A1A2E"/>
        </w:rPr>
        <w:t>on, harassment, or victimisation in the delivery of its services or in its professional relationships. This includes:</w:t>
      </w:r>
    </w:p>
    <w:p w:rsidR="006C23B6" w:rsidRDefault="003E5005">
      <w:pPr>
        <w:pStyle w:val="ListParagraph"/>
        <w:numPr>
          <w:ilvl w:val="0"/>
          <w:numId w:val="2"/>
        </w:numPr>
        <w:spacing w:before="40" w:after="40"/>
      </w:pPr>
      <w:r>
        <w:t>Direct discrimination — treating a person less favourably because of a protected characteristic</w:t>
      </w:r>
    </w:p>
    <w:p w:rsidR="006C23B6" w:rsidRDefault="003E5005">
      <w:pPr>
        <w:pStyle w:val="ListParagraph"/>
        <w:numPr>
          <w:ilvl w:val="0"/>
          <w:numId w:val="2"/>
        </w:numPr>
        <w:spacing w:before="40" w:after="40"/>
      </w:pPr>
      <w:r>
        <w:t>Indirect discrimination — applying a provi</w:t>
      </w:r>
      <w:r>
        <w:t>sion, criterion, or practice that disadvantages people with a protected characteristic without justification</w:t>
      </w:r>
    </w:p>
    <w:p w:rsidR="006C23B6" w:rsidRDefault="003E5005">
      <w:pPr>
        <w:pStyle w:val="ListParagraph"/>
        <w:numPr>
          <w:ilvl w:val="0"/>
          <w:numId w:val="2"/>
        </w:numPr>
        <w:spacing w:before="40" w:after="40"/>
      </w:pPr>
      <w:r>
        <w:t>Harassment — unwanted conduct related to a protected characteristic that violates dignity or creates a hostile, degrading, or humiliating environme</w:t>
      </w:r>
      <w:r>
        <w:t>nt</w:t>
      </w:r>
    </w:p>
    <w:p w:rsidR="006C23B6" w:rsidRDefault="003E5005">
      <w:pPr>
        <w:pStyle w:val="ListParagraph"/>
        <w:numPr>
          <w:ilvl w:val="0"/>
          <w:numId w:val="2"/>
        </w:numPr>
        <w:spacing w:before="40" w:after="40"/>
      </w:pPr>
      <w:r>
        <w:t>Victimisation — treating a person less favourably because they have raised an EDI concern or supported someone else in doing so</w:t>
      </w:r>
    </w:p>
    <w:p w:rsidR="006C23B6" w:rsidRDefault="006C23B6">
      <w:pPr>
        <w:spacing w:before="80"/>
      </w:pPr>
    </w:p>
    <w:p w:rsidR="006C23B6" w:rsidRDefault="003E5005">
      <w:pPr>
        <w:spacing w:before="280" w:after="100"/>
      </w:pPr>
      <w:proofErr w:type="gramStart"/>
      <w:r>
        <w:rPr>
          <w:b/>
          <w:bCs/>
          <w:color w:val="1B3A6B"/>
          <w:sz w:val="22"/>
          <w:szCs w:val="22"/>
        </w:rPr>
        <w:t>6.1  Reporting</w:t>
      </w:r>
      <w:proofErr w:type="gramEnd"/>
      <w:r>
        <w:rPr>
          <w:b/>
          <w:bCs/>
          <w:color w:val="1B3A6B"/>
          <w:sz w:val="22"/>
          <w:szCs w:val="22"/>
        </w:rPr>
        <w:t xml:space="preserve"> an EDI Concern</w:t>
      </w:r>
    </w:p>
    <w:p w:rsidR="006C23B6" w:rsidRDefault="003E5005">
      <w:pPr>
        <w:spacing w:before="60" w:after="100"/>
      </w:pPr>
      <w:r>
        <w:rPr>
          <w:color w:val="1A1A2E"/>
        </w:rPr>
        <w:t>EDI concerns relating to HealthBridge services may be raised as follows:</w:t>
      </w:r>
    </w:p>
    <w:p w:rsidR="006C23B6" w:rsidRDefault="006C23B6">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00"/>
        <w:gridCol w:w="3626"/>
        <w:gridCol w:w="3000"/>
      </w:tblGrid>
      <w:tr w:rsidR="006C23B6">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C23B6" w:rsidRDefault="003E5005">
            <w:r>
              <w:rPr>
                <w:b/>
                <w:bCs/>
                <w:color w:val="FFFFFF"/>
                <w:sz w:val="19"/>
                <w:szCs w:val="19"/>
              </w:rPr>
              <w:t>Channel</w:t>
            </w:r>
          </w:p>
        </w:tc>
        <w:tc>
          <w:tcPr>
            <w:tcW w:w="36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C23B6" w:rsidRDefault="003E5005">
            <w:r>
              <w:rPr>
                <w:b/>
                <w:bCs/>
                <w:color w:val="FFFFFF"/>
                <w:sz w:val="19"/>
                <w:szCs w:val="19"/>
              </w:rPr>
              <w:t>Contact</w:t>
            </w:r>
          </w:p>
        </w:tc>
        <w:tc>
          <w:tcPr>
            <w:tcW w:w="3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C23B6" w:rsidRDefault="003E5005">
            <w:r>
              <w:rPr>
                <w:b/>
                <w:bCs/>
                <w:color w:val="FFFFFF"/>
                <w:sz w:val="19"/>
                <w:szCs w:val="19"/>
              </w:rPr>
              <w:t>Response Timeline</w:t>
            </w:r>
          </w:p>
        </w:tc>
      </w:tr>
      <w:tr w:rsidR="006C23B6">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b/>
                <w:bCs/>
                <w:sz w:val="19"/>
                <w:szCs w:val="19"/>
              </w:rPr>
              <w:t>Email</w:t>
            </w:r>
          </w:p>
        </w:tc>
        <w:tc>
          <w:tcPr>
            <w:tcW w:w="36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contact@healthbridge.org.uk</w:t>
            </w:r>
          </w:p>
        </w:tc>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Acknowledged within 3 working days; investigation completed within 20 working days.</w:t>
            </w:r>
          </w:p>
        </w:tc>
      </w:tr>
      <w:tr w:rsidR="006C23B6">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b/>
                <w:bCs/>
                <w:sz w:val="19"/>
                <w:szCs w:val="19"/>
              </w:rPr>
              <w:t>Post</w:t>
            </w:r>
          </w:p>
        </w:tc>
        <w:tc>
          <w:tcPr>
            <w:tcW w:w="36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Dr. James Stanley, HealthBridge Occupational Health Ltd, 50 Hadow Way, Gloucester, GL2 4YJ</w:t>
            </w:r>
          </w:p>
        </w:tc>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Acknowledged within 5 working days of receipt.</w:t>
            </w:r>
          </w:p>
        </w:tc>
      </w:tr>
      <w:tr w:rsidR="006C23B6">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b/>
                <w:bCs/>
                <w:sz w:val="19"/>
                <w:szCs w:val="19"/>
              </w:rPr>
              <w:t>External escalation</w:t>
            </w:r>
          </w:p>
        </w:tc>
        <w:tc>
          <w:tcPr>
            <w:tcW w:w="36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Equality Advisory and Support Service (EASS): www.equalityadvisoryservice.com  |  0808 800 0082</w:t>
            </w:r>
          </w:p>
        </w:tc>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Where an EDI concern is not resolved through HealthBridge's internal process.</w:t>
            </w:r>
          </w:p>
        </w:tc>
      </w:tr>
    </w:tbl>
    <w:p w:rsidR="006C23B6" w:rsidRDefault="006C23B6">
      <w:pPr>
        <w:spacing w:before="80"/>
      </w:pPr>
    </w:p>
    <w:p w:rsidR="006C23B6" w:rsidRDefault="003E5005">
      <w:pPr>
        <w:spacing w:before="280" w:after="100"/>
      </w:pPr>
      <w:proofErr w:type="gramStart"/>
      <w:r>
        <w:rPr>
          <w:b/>
          <w:bCs/>
          <w:color w:val="1B3A6B"/>
          <w:sz w:val="22"/>
          <w:szCs w:val="22"/>
        </w:rPr>
        <w:t>6.2  Consequences</w:t>
      </w:r>
      <w:proofErr w:type="gramEnd"/>
      <w:r>
        <w:rPr>
          <w:b/>
          <w:bCs/>
          <w:color w:val="1B3A6B"/>
          <w:sz w:val="22"/>
          <w:szCs w:val="22"/>
        </w:rPr>
        <w:t xml:space="preserve"> of Breaches</w:t>
      </w:r>
    </w:p>
    <w:p w:rsidR="006C23B6" w:rsidRDefault="003E5005">
      <w:pPr>
        <w:spacing w:before="60" w:after="100"/>
      </w:pPr>
      <w:r>
        <w:rPr>
          <w:color w:val="1A1A2E"/>
        </w:rPr>
        <w:t>Where an EDI concern is upheld following investigation:</w:t>
      </w:r>
    </w:p>
    <w:p w:rsidR="006C23B6" w:rsidRDefault="003E5005">
      <w:pPr>
        <w:pStyle w:val="ListParagraph"/>
        <w:numPr>
          <w:ilvl w:val="0"/>
          <w:numId w:val="2"/>
        </w:numPr>
        <w:spacing w:before="40" w:after="40"/>
      </w:pPr>
      <w:r>
        <w:t>By the Clinical Lead: The matter is reported to the GMC under professional self-reporting obligations where required; MPS is consulted; the finding is reflected in the clinical governance record and CPD plan.</w:t>
      </w:r>
    </w:p>
    <w:p w:rsidR="006C23B6" w:rsidRDefault="003E5005">
      <w:pPr>
        <w:pStyle w:val="ListParagraph"/>
        <w:numPr>
          <w:ilvl w:val="0"/>
          <w:numId w:val="2"/>
        </w:numPr>
        <w:spacing w:before="40" w:after="40"/>
      </w:pPr>
      <w:r>
        <w:t>By a contracted third party: The breach is trea</w:t>
      </w:r>
      <w:r>
        <w:t>ted as a material breach of their contract. Engagement is suspended pending investigation and may be terminated. Where the breach involves a professional (e.g., an interpreter), their regulatory body is notified as appropriate.</w:t>
      </w:r>
    </w:p>
    <w:p w:rsidR="006C23B6" w:rsidRDefault="003E5005">
      <w:pPr>
        <w:pStyle w:val="ListParagraph"/>
        <w:numPr>
          <w:ilvl w:val="0"/>
          <w:numId w:val="2"/>
        </w:numPr>
        <w:spacing w:before="40" w:after="40"/>
      </w:pPr>
      <w:r>
        <w:t>By a referring employer: Hea</w:t>
      </w:r>
      <w:r>
        <w:t>lthBridge reserves the right to terminate or decline to renew a service relationship where a referring organisation persistently treats employees referred to HealthBridge in a discriminatory manner, or where their conduct during the referral process involv</w:t>
      </w:r>
      <w:r>
        <w:t>es discrimination against the employee.</w:t>
      </w:r>
    </w:p>
    <w:p w:rsidR="006C23B6" w:rsidRDefault="006C23B6">
      <w:pPr>
        <w:spacing w:before="80"/>
      </w:pPr>
    </w:p>
    <w:p w:rsidR="006C23B6" w:rsidRDefault="003E5005">
      <w:pPr>
        <w:spacing w:before="400" w:after="120"/>
      </w:pPr>
      <w:r>
        <w:rPr>
          <w:b/>
          <w:bCs/>
          <w:color w:val="1B3A6B"/>
          <w:sz w:val="28"/>
          <w:szCs w:val="28"/>
        </w:rPr>
        <w:lastRenderedPageBreak/>
        <w:t>7.  Quality Monitoring</w:t>
      </w:r>
    </w:p>
    <w:p w:rsidR="006C23B6" w:rsidRDefault="006C23B6">
      <w:pPr>
        <w:pBdr>
          <w:bottom w:val="single" w:sz="6" w:space="1" w:color="1B3A6B"/>
        </w:pBdr>
        <w:spacing w:before="60" w:after="200"/>
      </w:pPr>
    </w:p>
    <w:p w:rsidR="006C23B6" w:rsidRDefault="003E5005">
      <w:pPr>
        <w:spacing w:before="60" w:after="100"/>
      </w:pPr>
      <w:r>
        <w:rPr>
          <w:color w:val="1A1A2E"/>
        </w:rPr>
        <w:t>As a sole-practitioner service, formal workforce diversity metrics are not applicable. Quality monitoring in relation to EDI is focused on service delivery outcomes:</w:t>
      </w:r>
    </w:p>
    <w:p w:rsidR="006C23B6" w:rsidRDefault="006C23B6">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400"/>
        <w:gridCol w:w="3626"/>
        <w:gridCol w:w="2000"/>
      </w:tblGrid>
      <w:tr w:rsidR="006C23B6">
        <w:tblPrEx>
          <w:tblCellMar>
            <w:top w:w="0" w:type="dxa"/>
            <w:bottom w:w="0" w:type="dxa"/>
          </w:tblCellMar>
        </w:tblPrEx>
        <w:tc>
          <w:tcPr>
            <w:tcW w:w="34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C23B6" w:rsidRDefault="003E5005">
            <w:r>
              <w:rPr>
                <w:b/>
                <w:bCs/>
                <w:color w:val="FFFFFF"/>
                <w:sz w:val="19"/>
                <w:szCs w:val="19"/>
              </w:rPr>
              <w:t>Metric</w:t>
            </w:r>
          </w:p>
        </w:tc>
        <w:tc>
          <w:tcPr>
            <w:tcW w:w="36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C23B6" w:rsidRDefault="003E5005">
            <w:r>
              <w:rPr>
                <w:b/>
                <w:bCs/>
                <w:color w:val="FFFFFF"/>
                <w:sz w:val="19"/>
                <w:szCs w:val="19"/>
              </w:rPr>
              <w:t>How Measured</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C23B6" w:rsidRDefault="003E5005">
            <w:r>
              <w:rPr>
                <w:b/>
                <w:bCs/>
                <w:color w:val="FFFFFF"/>
                <w:sz w:val="19"/>
                <w:szCs w:val="19"/>
              </w:rPr>
              <w:t>Targ</w:t>
            </w:r>
            <w:r>
              <w:rPr>
                <w:b/>
                <w:bCs/>
                <w:color w:val="FFFFFF"/>
                <w:sz w:val="19"/>
                <w:szCs w:val="19"/>
              </w:rPr>
              <w:t>et</w:t>
            </w:r>
          </w:p>
        </w:tc>
      </w:tr>
      <w:tr w:rsidR="006C23B6">
        <w:tblPrEx>
          <w:tblCellMar>
            <w:top w:w="0" w:type="dxa"/>
            <w:bottom w:w="0" w:type="dxa"/>
          </w:tblCellMar>
        </w:tblPrEx>
        <w:tc>
          <w:tcPr>
            <w:tcW w:w="3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Accessibility satisfaction — employee feedback</w:t>
            </w:r>
          </w:p>
        </w:tc>
        <w:tc>
          <w:tcPr>
            <w:tcW w:w="36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Post-consultation survey (Net Promoter Score + free-text)</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90% positive</w:t>
            </w:r>
          </w:p>
        </w:tc>
      </w:tr>
      <w:tr w:rsidR="006C23B6">
        <w:tblPrEx>
          <w:tblCellMar>
            <w:top w:w="0" w:type="dxa"/>
            <w:bottom w:w="0" w:type="dxa"/>
          </w:tblCellMar>
        </w:tblPrEx>
        <w:tc>
          <w:tcPr>
            <w:tcW w:w="3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EDI concerns received</w:t>
            </w:r>
          </w:p>
        </w:tc>
        <w:tc>
          <w:tcPr>
            <w:tcW w:w="36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Logged and reviewed at annual governance review</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Zero upheld complaints</w:t>
            </w:r>
          </w:p>
        </w:tc>
      </w:tr>
      <w:tr w:rsidR="006C23B6">
        <w:tblPrEx>
          <w:tblCellMar>
            <w:top w:w="0" w:type="dxa"/>
            <w:bottom w:w="0" w:type="dxa"/>
          </w:tblCellMar>
        </w:tblPrEx>
        <w:tc>
          <w:tcPr>
            <w:tcW w:w="3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Language / accessibility support provided</w:t>
            </w:r>
          </w:p>
        </w:tc>
        <w:tc>
          <w:tcPr>
            <w:tcW w:w="36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Logged in each case record where support was arranged</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100% of requests fulfilled or escalated with reason</w:t>
            </w:r>
          </w:p>
        </w:tc>
      </w:tr>
      <w:tr w:rsidR="006C23B6">
        <w:tblPrEx>
          <w:tblCellMar>
            <w:top w:w="0" w:type="dxa"/>
            <w:bottom w:w="0" w:type="dxa"/>
          </w:tblCellMar>
        </w:tblPrEx>
        <w:tc>
          <w:tcPr>
            <w:tcW w:w="3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EA 2010 disability considerations in reports</w:t>
            </w:r>
          </w:p>
        </w:tc>
        <w:tc>
          <w:tcPr>
            <w:tcW w:w="36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Included in monthly 10% case note audit (Clinical Governance P</w:t>
            </w:r>
            <w:r>
              <w:rPr>
                <w:sz w:val="19"/>
                <w:szCs w:val="19"/>
              </w:rPr>
              <w:t>olicy)</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Addressed in all relevant assessments</w:t>
            </w:r>
          </w:p>
        </w:tc>
      </w:tr>
    </w:tbl>
    <w:p w:rsidR="006C23B6" w:rsidRDefault="006C23B6">
      <w:pPr>
        <w:spacing w:before="80"/>
      </w:pPr>
    </w:p>
    <w:p w:rsidR="006C23B6" w:rsidRDefault="003E5005">
      <w:pPr>
        <w:spacing w:before="400" w:after="120"/>
      </w:pPr>
      <w:r>
        <w:rPr>
          <w:b/>
          <w:bCs/>
          <w:color w:val="1B3A6B"/>
          <w:sz w:val="28"/>
          <w:szCs w:val="28"/>
        </w:rPr>
        <w:t>8.  Policy Governance</w:t>
      </w:r>
    </w:p>
    <w:p w:rsidR="006C23B6" w:rsidRDefault="006C23B6">
      <w:pPr>
        <w:pBdr>
          <w:bottom w:val="single" w:sz="6" w:space="1" w:color="1B3A6B"/>
        </w:pBdr>
        <w:spacing w:before="60" w:after="200"/>
      </w:pPr>
    </w:p>
    <w:p w:rsidR="006C23B6" w:rsidRDefault="003E5005">
      <w:pPr>
        <w:spacing w:before="60" w:after="100"/>
      </w:pPr>
      <w:r>
        <w:rPr>
          <w:color w:val="1A1A2E"/>
        </w:rPr>
        <w:t>The Clinical Lead (Dr. James Stanley) is responsible for implementing and upholding this policy across all aspects of HealthBridge service delivery.</w:t>
      </w:r>
    </w:p>
    <w:p w:rsidR="006C23B6" w:rsidRDefault="006C23B6">
      <w:pPr>
        <w:spacing w:before="60"/>
      </w:pPr>
    </w:p>
    <w:p w:rsidR="006C23B6" w:rsidRDefault="003E5005">
      <w:pPr>
        <w:pStyle w:val="ListParagraph"/>
        <w:numPr>
          <w:ilvl w:val="0"/>
          <w:numId w:val="2"/>
        </w:numPr>
        <w:spacing w:before="40" w:after="40"/>
      </w:pPr>
      <w:r>
        <w:t>Annual CPD in unconscious bias, cultural competency, and disability equality — evidenced in CPD record.</w:t>
      </w:r>
    </w:p>
    <w:p w:rsidR="006C23B6" w:rsidRDefault="003E5005">
      <w:pPr>
        <w:pStyle w:val="ListParagraph"/>
        <w:numPr>
          <w:ilvl w:val="0"/>
          <w:numId w:val="2"/>
        </w:numPr>
        <w:spacing w:before="40" w:after="40"/>
      </w:pPr>
      <w:r>
        <w:t>Annual self-review of this policy against EA 2010 obligations, clinical feedback, and any EDI concerns received.</w:t>
      </w:r>
    </w:p>
    <w:p w:rsidR="006C23B6" w:rsidRDefault="003E5005">
      <w:pPr>
        <w:pStyle w:val="ListParagraph"/>
        <w:numPr>
          <w:ilvl w:val="0"/>
          <w:numId w:val="2"/>
        </w:numPr>
        <w:spacing w:before="40" w:after="40"/>
      </w:pPr>
      <w:r>
        <w:t>All contracted third parties (including interpreters and administrative support) must sign a confidentiality agreement that includes a commitment to non-discrimination as a condition of engagement.</w:t>
      </w:r>
    </w:p>
    <w:p w:rsidR="006C23B6" w:rsidRDefault="003E5005">
      <w:pPr>
        <w:pStyle w:val="ListParagraph"/>
        <w:numPr>
          <w:ilvl w:val="0"/>
          <w:numId w:val="2"/>
        </w:numPr>
        <w:spacing w:before="40" w:after="40"/>
      </w:pPr>
      <w:r>
        <w:t>This policy is read in conjunction with the Confidentialit</w:t>
      </w:r>
      <w:r>
        <w:t>y Policy, the Complaints Policy, and the Clinical Governance Policy.</w:t>
      </w:r>
    </w:p>
    <w:p w:rsidR="006C23B6" w:rsidRDefault="006C23B6">
      <w:pPr>
        <w:spacing w:before="80"/>
      </w:pPr>
    </w:p>
    <w:p w:rsidR="006C23B6" w:rsidRDefault="003E5005">
      <w:pPr>
        <w:spacing w:before="400" w:after="120"/>
      </w:pPr>
      <w:r>
        <w:rPr>
          <w:b/>
          <w:bCs/>
          <w:color w:val="1B3A6B"/>
          <w:sz w:val="28"/>
          <w:szCs w:val="28"/>
        </w:rPr>
        <w:t>9.  Policy Review</w:t>
      </w:r>
    </w:p>
    <w:p w:rsidR="006C23B6" w:rsidRDefault="006C23B6">
      <w:pPr>
        <w:pBdr>
          <w:bottom w:val="single" w:sz="6" w:space="1" w:color="1B3A6B"/>
        </w:pBdr>
        <w:spacing w:before="60" w:after="200"/>
      </w:pPr>
    </w:p>
    <w:p w:rsidR="006C23B6" w:rsidRDefault="003E5005">
      <w:pPr>
        <w:pStyle w:val="ListParagraph"/>
        <w:numPr>
          <w:ilvl w:val="0"/>
          <w:numId w:val="2"/>
        </w:numPr>
        <w:spacing w:before="40" w:after="40"/>
      </w:pPr>
      <w:r>
        <w:t>Formal annual review — next scheduled: 13 June 2027.</w:t>
      </w:r>
    </w:p>
    <w:p w:rsidR="006C23B6" w:rsidRDefault="003E5005">
      <w:pPr>
        <w:pStyle w:val="ListParagraph"/>
        <w:numPr>
          <w:ilvl w:val="0"/>
          <w:numId w:val="2"/>
        </w:numPr>
        <w:spacing w:before="40" w:after="40"/>
      </w:pPr>
      <w:r>
        <w:t xml:space="preserve">Ad-hoc review following: any EDI complaint or concern; changes to equality legislation or GMC guidance; expansion </w:t>
      </w:r>
      <w:r>
        <w:t>of the service or addition of associate practitioners.</w:t>
      </w:r>
    </w:p>
    <w:p w:rsidR="006C23B6" w:rsidRDefault="006C23B6">
      <w:pPr>
        <w:spacing w:before="80"/>
      </w:pPr>
    </w:p>
    <w:p w:rsidR="006C23B6" w:rsidRDefault="003E5005">
      <w:pPr>
        <w:spacing w:before="400" w:after="120"/>
      </w:pPr>
      <w:r>
        <w:rPr>
          <w:b/>
          <w:bCs/>
          <w:color w:val="1B3A6B"/>
          <w:sz w:val="28"/>
          <w:szCs w:val="28"/>
        </w:rPr>
        <w:t>10.  Version Control</w:t>
      </w:r>
    </w:p>
    <w:p w:rsidR="006C23B6" w:rsidRDefault="006C23B6">
      <w:pPr>
        <w:pBdr>
          <w:bottom w:val="single" w:sz="6" w:space="1" w:color="1B3A6B"/>
        </w:pBdr>
        <w:spacing w:before="60" w:after="200"/>
      </w:pPr>
    </w:p>
    <w:p w:rsidR="006C23B6" w:rsidRDefault="006C23B6">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2000"/>
        <w:gridCol w:w="3526"/>
        <w:gridCol w:w="2000"/>
      </w:tblGrid>
      <w:tr w:rsidR="006C23B6">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C23B6" w:rsidRDefault="003E5005">
            <w:r>
              <w:rPr>
                <w:b/>
                <w:bCs/>
                <w:color w:val="FFFFFF"/>
                <w:sz w:val="19"/>
                <w:szCs w:val="19"/>
              </w:rPr>
              <w:t>Version</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C23B6" w:rsidRDefault="003E5005">
            <w:r>
              <w:rPr>
                <w:b/>
                <w:bCs/>
                <w:color w:val="FFFFFF"/>
                <w:sz w:val="19"/>
                <w:szCs w:val="19"/>
              </w:rPr>
              <w:t>Date</w:t>
            </w:r>
          </w:p>
        </w:tc>
        <w:tc>
          <w:tcPr>
            <w:tcW w:w="35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C23B6" w:rsidRDefault="003E5005">
            <w:r>
              <w:rPr>
                <w:b/>
                <w:bCs/>
                <w:color w:val="FFFFFF"/>
                <w:sz w:val="19"/>
                <w:szCs w:val="19"/>
              </w:rPr>
              <w:t>Changes Made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C23B6" w:rsidRDefault="003E5005">
            <w:r>
              <w:rPr>
                <w:b/>
                <w:bCs/>
                <w:color w:val="FFFFFF"/>
                <w:sz w:val="19"/>
                <w:szCs w:val="19"/>
              </w:rPr>
              <w:t>Approved By</w:t>
            </w:r>
          </w:p>
        </w:tc>
      </w:tr>
      <w:tr w:rsidR="006C23B6">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lastRenderedPageBreak/>
              <w:t>1.0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30/07/2025</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Initial policy draft.</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Dr. James Stanley</w:t>
            </w:r>
          </w:p>
        </w:tc>
      </w:tr>
      <w:tr w:rsidR="006C23B6">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2.0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13/06/2026</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Comprehensive review: removed ISO 30415 certification claim; removed NHS Workforce Race Equality Standard (not applicable); removed board/EDI Lead/HR/staff roles; removed pay gap and workforce diversity metrics (not applicable — sole practitioner); added O</w:t>
            </w:r>
            <w:r>
              <w:rPr>
                <w:sz w:val="19"/>
                <w:szCs w:val="19"/>
              </w:rPr>
              <w:t>H-specific EA 2010 disability determination guidance (Section 4.1); added clinical bias section; expanded interpreter and BSL support with NRPSI/NRCPD accreditation standards, Language Line option, and prohibition on non-professional interpreters; expanded</w:t>
            </w:r>
            <w:r>
              <w:rPr>
                <w:sz w:val="19"/>
                <w:szCs w:val="19"/>
              </w:rPr>
              <w:t xml:space="preserve"> document accessibility section; added neurodiversity adaptations; added EASS as external escalation body; quality monitoring table revised to service-delivery metrics only.</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Dr. James Stanley</w:t>
            </w:r>
          </w:p>
        </w:tc>
      </w:tr>
      <w:tr w:rsidR="006C23B6">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2.1</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3E5005">
            <w:r>
              <w:rPr>
                <w:sz w:val="19"/>
                <w:szCs w:val="19"/>
              </w:rPr>
              <w:t>[DD/MM/YYYY]</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6C23B6"/>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C23B6" w:rsidRDefault="006C23B6"/>
        </w:tc>
      </w:tr>
    </w:tbl>
    <w:p w:rsidR="006C23B6" w:rsidRDefault="006C23B6">
      <w:pPr>
        <w:spacing w:before="160"/>
      </w:pPr>
    </w:p>
    <w:p w:rsidR="006C23B6" w:rsidRDefault="003E5005">
      <w:pPr>
        <w:spacing w:before="60" w:after="100"/>
      </w:pPr>
      <w:r>
        <w:rPr>
          <w:b/>
          <w:bCs/>
          <w:color w:val="1A1A2E"/>
        </w:rPr>
        <w:t>Approved by: Dr. James Stanley, Clinical Lead</w:t>
      </w:r>
    </w:p>
    <w:p w:rsidR="006C23B6" w:rsidRDefault="003E5005">
      <w:pPr>
        <w:spacing w:before="60" w:after="100"/>
      </w:pPr>
      <w:r>
        <w:rPr>
          <w:color w:val="1A1A2E"/>
        </w:rPr>
        <w:t>GMC Registration No: 7285162</w:t>
      </w:r>
    </w:p>
    <w:p w:rsidR="006C23B6" w:rsidRDefault="003E5005">
      <w:pPr>
        <w:spacing w:before="60" w:after="100"/>
      </w:pPr>
      <w:r>
        <w:rPr>
          <w:color w:val="1A1A2E"/>
        </w:rPr>
        <w:t>Contact: contact@healthbridge.org.uk</w:t>
      </w:r>
    </w:p>
    <w:p w:rsidR="006C23B6" w:rsidRDefault="006C23B6">
      <w:pPr>
        <w:spacing w:before="60"/>
      </w:pPr>
    </w:p>
    <w:p w:rsidR="006C23B6" w:rsidRDefault="003E5005">
      <w:pPr>
        <w:spacing w:before="60" w:after="100"/>
      </w:pPr>
      <w:r>
        <w:rPr>
          <w:i/>
          <w:iCs/>
          <w:color w:val="6B7280"/>
        </w:rPr>
        <w:t xml:space="preserve">HealthBridge Occupational Health </w:t>
      </w:r>
      <w:proofErr w:type="gramStart"/>
      <w:r>
        <w:rPr>
          <w:i/>
          <w:iCs/>
          <w:color w:val="6B7280"/>
        </w:rPr>
        <w:t>Ltd  |</w:t>
      </w:r>
      <w:proofErr w:type="gramEnd"/>
      <w:r>
        <w:rPr>
          <w:i/>
          <w:iCs/>
          <w:color w:val="6B7280"/>
        </w:rPr>
        <w:t xml:space="preserve">  Company No: 16615396</w:t>
      </w:r>
    </w:p>
    <w:p w:rsidR="006C23B6" w:rsidRDefault="003E5005">
      <w:pPr>
        <w:spacing w:before="60" w:after="100"/>
      </w:pPr>
      <w:r>
        <w:rPr>
          <w:i/>
          <w:iCs/>
          <w:color w:val="6B7280"/>
        </w:rPr>
        <w:t>Registered Address: 50 Hadow Way, Gloucester, GL2 4YJ</w:t>
      </w:r>
    </w:p>
    <w:p w:rsidR="006C23B6" w:rsidRDefault="003E5005">
      <w:pPr>
        <w:spacing w:before="60" w:after="100"/>
      </w:pPr>
      <w:proofErr w:type="gramStart"/>
      <w:r>
        <w:rPr>
          <w:i/>
          <w:iCs/>
          <w:color w:val="6B7280"/>
        </w:rPr>
        <w:t>© HealthBridge Occupational Health Ltd. Unauthorised distribution prohibited.</w:t>
      </w:r>
      <w:proofErr w:type="gramEnd"/>
    </w:p>
    <w:sectPr w:rsidR="006C23B6" w:rsidSect="006C23B6">
      <w:headerReference w:type="default" r:id="rId7"/>
      <w:footerReference w:type="default" r:id="rId8"/>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3B6" w:rsidRDefault="006C23B6" w:rsidP="006C23B6">
      <w:r>
        <w:separator/>
      </w:r>
    </w:p>
  </w:endnote>
  <w:endnote w:type="continuationSeparator" w:id="0">
    <w:p w:rsidR="006C23B6" w:rsidRDefault="006C23B6" w:rsidP="006C23B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B6" w:rsidRDefault="003E5005">
    <w:pPr>
      <w:pBdr>
        <w:top w:val="single" w:sz="4" w:space="2" w:color="1B3A6B"/>
      </w:pBdr>
      <w:tabs>
        <w:tab w:val="right" w:pos="9026"/>
      </w:tabs>
      <w:spacing w:before="120"/>
    </w:pPr>
    <w:r>
      <w:rPr>
        <w:color w:val="6B7280"/>
        <w:sz w:val="16"/>
        <w:szCs w:val="16"/>
      </w:rPr>
      <w:t>Hea</w:t>
    </w:r>
    <w:r>
      <w:rPr>
        <w:color w:val="6B7280"/>
        <w:sz w:val="16"/>
        <w:szCs w:val="16"/>
      </w:rPr>
      <w:t xml:space="preserve">lthBridge Occupational Health </w:t>
    </w:r>
    <w:proofErr w:type="gramStart"/>
    <w:r>
      <w:rPr>
        <w:color w:val="6B7280"/>
        <w:sz w:val="16"/>
        <w:szCs w:val="16"/>
      </w:rPr>
      <w:t>Ltd  |</w:t>
    </w:r>
    <w:proofErr w:type="gramEnd"/>
    <w:r>
      <w:rPr>
        <w:color w:val="6B7280"/>
        <w:sz w:val="16"/>
        <w:szCs w:val="16"/>
      </w:rPr>
      <w:t xml:space="preserve">  Co. No: </w:t>
    </w:r>
    <w:proofErr w:type="gramStart"/>
    <w:r>
      <w:rPr>
        <w:color w:val="6B7280"/>
        <w:sz w:val="16"/>
        <w:szCs w:val="16"/>
      </w:rPr>
      <w:t>16615396  |</w:t>
    </w:r>
    <w:proofErr w:type="gramEnd"/>
    <w:r>
      <w:rPr>
        <w:color w:val="6B7280"/>
        <w:sz w:val="16"/>
        <w:szCs w:val="16"/>
      </w:rPr>
      <w:t xml:space="preserve">  50 Hadow Way, Gloucester, GL2 4YJ</w:t>
    </w:r>
    <w:r>
      <w:rPr>
        <w:color w:val="6B7280"/>
        <w:sz w:val="16"/>
        <w:szCs w:val="16"/>
      </w:rPr>
      <w:tab/>
      <w:t xml:space="preserve">Page </w:t>
    </w:r>
    <w:r w:rsidR="006C23B6">
      <w:rPr>
        <w:color w:val="6B7280"/>
        <w:sz w:val="16"/>
        <w:szCs w:val="16"/>
      </w:rPr>
      <w:fldChar w:fldCharType="begin"/>
    </w:r>
    <w:r>
      <w:rPr>
        <w:color w:val="6B7280"/>
        <w:sz w:val="16"/>
        <w:szCs w:val="16"/>
      </w:rPr>
      <w:instrText>PAGE</w:instrText>
    </w:r>
    <w:r w:rsidR="0078169A">
      <w:rPr>
        <w:color w:val="6B7280"/>
        <w:sz w:val="16"/>
        <w:szCs w:val="16"/>
      </w:rPr>
      <w:fldChar w:fldCharType="separate"/>
    </w:r>
    <w:r>
      <w:rPr>
        <w:noProof/>
        <w:color w:val="6B7280"/>
        <w:sz w:val="16"/>
        <w:szCs w:val="16"/>
      </w:rPr>
      <w:t>2</w:t>
    </w:r>
    <w:r w:rsidR="006C23B6">
      <w:rPr>
        <w:color w:val="6B728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3B6" w:rsidRDefault="006C23B6" w:rsidP="006C23B6">
      <w:r>
        <w:separator/>
      </w:r>
    </w:p>
  </w:footnote>
  <w:footnote w:type="continuationSeparator" w:id="0">
    <w:p w:rsidR="006C23B6" w:rsidRDefault="006C23B6" w:rsidP="006C23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B6" w:rsidRDefault="003E5005">
    <w:pPr>
      <w:tabs>
        <w:tab w:val="right" w:pos="9026"/>
      </w:tabs>
      <w:spacing w:after="100"/>
    </w:pPr>
    <w:r>
      <w:rPr>
        <w:color w:val="6B7280"/>
        <w:sz w:val="16"/>
        <w:szCs w:val="16"/>
      </w:rPr>
      <w:t xml:space="preserve">Version </w:t>
    </w:r>
    <w:proofErr w:type="gramStart"/>
    <w:r>
      <w:rPr>
        <w:color w:val="6B7280"/>
        <w:sz w:val="16"/>
        <w:szCs w:val="16"/>
      </w:rPr>
      <w:t>2.0  |</w:t>
    </w:r>
    <w:proofErr w:type="gramEnd"/>
    <w:r>
      <w:rPr>
        <w:color w:val="6B7280"/>
        <w:sz w:val="16"/>
        <w:szCs w:val="16"/>
      </w:rPr>
      <w:t xml:space="preserve">  Effective: 13/06/2026  |  Owner: Dr. James Stanley  |  GMC: 7285162</w:t>
    </w:r>
    <w:r>
      <w:rPr>
        <w:color w:val="6B7280"/>
        <w:sz w:val="16"/>
        <w:szCs w:val="16"/>
      </w:rPr>
      <w:tab/>
      <w:t>Next Review: 13/06/2027</w:t>
    </w:r>
  </w:p>
  <w:p w:rsidR="006C23B6" w:rsidRDefault="006C23B6">
    <w:pPr>
      <w:pBdr>
        <w:bottom w:val="single" w:sz="6"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F37D3"/>
    <w:multiLevelType w:val="hybridMultilevel"/>
    <w:tmpl w:val="C04832EA"/>
    <w:lvl w:ilvl="0" w:tplc="9E6CFC24">
      <w:start w:val="1"/>
      <w:numFmt w:val="bullet"/>
      <w:lvlText w:val="•"/>
      <w:lvlJc w:val="left"/>
      <w:pPr>
        <w:ind w:left="540" w:hanging="360"/>
      </w:pPr>
    </w:lvl>
    <w:lvl w:ilvl="1" w:tplc="7CE017EE">
      <w:numFmt w:val="decimal"/>
      <w:lvlText w:val=""/>
      <w:lvlJc w:val="left"/>
    </w:lvl>
    <w:lvl w:ilvl="2" w:tplc="758C0938">
      <w:numFmt w:val="decimal"/>
      <w:lvlText w:val=""/>
      <w:lvlJc w:val="left"/>
    </w:lvl>
    <w:lvl w:ilvl="3" w:tplc="27601898">
      <w:numFmt w:val="decimal"/>
      <w:lvlText w:val=""/>
      <w:lvlJc w:val="left"/>
    </w:lvl>
    <w:lvl w:ilvl="4" w:tplc="F62C9762">
      <w:numFmt w:val="decimal"/>
      <w:lvlText w:val=""/>
      <w:lvlJc w:val="left"/>
    </w:lvl>
    <w:lvl w:ilvl="5" w:tplc="00EA750E">
      <w:numFmt w:val="decimal"/>
      <w:lvlText w:val=""/>
      <w:lvlJc w:val="left"/>
    </w:lvl>
    <w:lvl w:ilvl="6" w:tplc="39921BD4">
      <w:numFmt w:val="decimal"/>
      <w:lvlText w:val=""/>
      <w:lvlJc w:val="left"/>
    </w:lvl>
    <w:lvl w:ilvl="7" w:tplc="E9E23F26">
      <w:numFmt w:val="decimal"/>
      <w:lvlText w:val=""/>
      <w:lvlJc w:val="left"/>
    </w:lvl>
    <w:lvl w:ilvl="8" w:tplc="E40A0518">
      <w:numFmt w:val="decimal"/>
      <w:lvlText w:val=""/>
      <w:lvlJc w:val="left"/>
    </w:lvl>
  </w:abstractNum>
  <w:abstractNum w:abstractNumId="1">
    <w:nsid w:val="7F41257A"/>
    <w:multiLevelType w:val="hybridMultilevel"/>
    <w:tmpl w:val="90F0E64A"/>
    <w:lvl w:ilvl="0" w:tplc="29D8C8BC">
      <w:start w:val="1"/>
      <w:numFmt w:val="bullet"/>
      <w:lvlText w:val="●"/>
      <w:lvlJc w:val="left"/>
      <w:pPr>
        <w:ind w:left="720" w:hanging="360"/>
      </w:pPr>
    </w:lvl>
    <w:lvl w:ilvl="1" w:tplc="917A7D04">
      <w:start w:val="1"/>
      <w:numFmt w:val="bullet"/>
      <w:lvlText w:val="○"/>
      <w:lvlJc w:val="left"/>
      <w:pPr>
        <w:ind w:left="1440" w:hanging="360"/>
      </w:pPr>
    </w:lvl>
    <w:lvl w:ilvl="2" w:tplc="80EA3594">
      <w:start w:val="1"/>
      <w:numFmt w:val="bullet"/>
      <w:lvlText w:val="■"/>
      <w:lvlJc w:val="left"/>
      <w:pPr>
        <w:ind w:left="2160" w:hanging="360"/>
      </w:pPr>
    </w:lvl>
    <w:lvl w:ilvl="3" w:tplc="BE80B46E">
      <w:start w:val="1"/>
      <w:numFmt w:val="bullet"/>
      <w:lvlText w:val="●"/>
      <w:lvlJc w:val="left"/>
      <w:pPr>
        <w:ind w:left="2880" w:hanging="360"/>
      </w:pPr>
    </w:lvl>
    <w:lvl w:ilvl="4" w:tplc="69660A5E">
      <w:start w:val="1"/>
      <w:numFmt w:val="bullet"/>
      <w:lvlText w:val="○"/>
      <w:lvlJc w:val="left"/>
      <w:pPr>
        <w:ind w:left="3600" w:hanging="360"/>
      </w:pPr>
    </w:lvl>
    <w:lvl w:ilvl="5" w:tplc="3AB22A32">
      <w:start w:val="1"/>
      <w:numFmt w:val="bullet"/>
      <w:lvlText w:val="■"/>
      <w:lvlJc w:val="left"/>
      <w:pPr>
        <w:ind w:left="4320" w:hanging="360"/>
      </w:pPr>
    </w:lvl>
    <w:lvl w:ilvl="6" w:tplc="03706150">
      <w:start w:val="1"/>
      <w:numFmt w:val="bullet"/>
      <w:lvlText w:val="●"/>
      <w:lvlJc w:val="left"/>
      <w:pPr>
        <w:ind w:left="5040" w:hanging="360"/>
      </w:pPr>
    </w:lvl>
    <w:lvl w:ilvl="7" w:tplc="D0E0DCFE">
      <w:start w:val="1"/>
      <w:numFmt w:val="bullet"/>
      <w:lvlText w:val="●"/>
      <w:lvlJc w:val="left"/>
      <w:pPr>
        <w:ind w:left="5760" w:hanging="360"/>
      </w:pPr>
    </w:lvl>
    <w:lvl w:ilvl="8" w:tplc="B6F2F792">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grammar="clean"/>
  <w:defaultTabStop w:val="720"/>
  <w:characterSpacingControl w:val="doNotCompress"/>
  <w:footnotePr>
    <w:footnote w:id="-1"/>
    <w:footnote w:id="0"/>
  </w:footnotePr>
  <w:endnotePr>
    <w:endnote w:id="-1"/>
    <w:endnote w:id="0"/>
  </w:endnotePr>
  <w:compat/>
  <w:rsids>
    <w:rsidRoot w:val="006C23B6"/>
    <w:rsid w:val="003E5005"/>
    <w:rsid w:val="006C23B6"/>
    <w:rsid w:val="0078169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6C23B6"/>
    <w:pPr>
      <w:outlineLvl w:val="0"/>
    </w:pPr>
    <w:rPr>
      <w:color w:val="2E74B5"/>
      <w:sz w:val="32"/>
      <w:szCs w:val="32"/>
    </w:rPr>
  </w:style>
  <w:style w:type="paragraph" w:styleId="Heading2">
    <w:name w:val="heading 2"/>
    <w:qFormat/>
    <w:rsid w:val="006C23B6"/>
    <w:pPr>
      <w:outlineLvl w:val="1"/>
    </w:pPr>
    <w:rPr>
      <w:color w:val="2E74B5"/>
      <w:sz w:val="26"/>
      <w:szCs w:val="26"/>
    </w:rPr>
  </w:style>
  <w:style w:type="paragraph" w:styleId="Heading3">
    <w:name w:val="heading 3"/>
    <w:qFormat/>
    <w:rsid w:val="006C23B6"/>
    <w:pPr>
      <w:outlineLvl w:val="2"/>
    </w:pPr>
    <w:rPr>
      <w:color w:val="1F4D78"/>
      <w:sz w:val="24"/>
      <w:szCs w:val="24"/>
    </w:rPr>
  </w:style>
  <w:style w:type="paragraph" w:styleId="Heading4">
    <w:name w:val="heading 4"/>
    <w:qFormat/>
    <w:rsid w:val="006C23B6"/>
    <w:pPr>
      <w:outlineLvl w:val="3"/>
    </w:pPr>
    <w:rPr>
      <w:i/>
      <w:iCs/>
      <w:color w:val="2E74B5"/>
    </w:rPr>
  </w:style>
  <w:style w:type="paragraph" w:styleId="Heading5">
    <w:name w:val="heading 5"/>
    <w:qFormat/>
    <w:rsid w:val="006C23B6"/>
    <w:pPr>
      <w:outlineLvl w:val="4"/>
    </w:pPr>
    <w:rPr>
      <w:color w:val="2E74B5"/>
    </w:rPr>
  </w:style>
  <w:style w:type="paragraph" w:styleId="Heading6">
    <w:name w:val="heading 6"/>
    <w:qFormat/>
    <w:rsid w:val="006C23B6"/>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6C23B6"/>
    <w:rPr>
      <w:sz w:val="56"/>
      <w:szCs w:val="56"/>
    </w:rPr>
  </w:style>
  <w:style w:type="paragraph" w:customStyle="1" w:styleId="Strong1">
    <w:name w:val="Strong1"/>
    <w:qFormat/>
    <w:rsid w:val="006C23B6"/>
    <w:rPr>
      <w:b/>
      <w:bCs/>
    </w:rPr>
  </w:style>
  <w:style w:type="paragraph" w:styleId="ListParagraph">
    <w:name w:val="List Paragraph"/>
    <w:qFormat/>
    <w:rsid w:val="006C23B6"/>
  </w:style>
  <w:style w:type="character" w:styleId="Hyperlink">
    <w:name w:val="Hyperlink"/>
    <w:uiPriority w:val="99"/>
    <w:unhideWhenUsed/>
    <w:rsid w:val="006C23B6"/>
    <w:rPr>
      <w:color w:val="0563C1"/>
      <w:u w:val="single"/>
    </w:rPr>
  </w:style>
  <w:style w:type="character" w:styleId="FootnoteReference">
    <w:name w:val="footnote reference"/>
    <w:uiPriority w:val="99"/>
    <w:semiHidden/>
    <w:unhideWhenUsed/>
    <w:rsid w:val="006C23B6"/>
    <w:rPr>
      <w:vertAlign w:val="superscript"/>
    </w:rPr>
  </w:style>
  <w:style w:type="paragraph" w:styleId="FootnoteText">
    <w:name w:val="footnote text"/>
    <w:link w:val="FootnoteTextChar"/>
    <w:uiPriority w:val="99"/>
    <w:semiHidden/>
    <w:unhideWhenUsed/>
    <w:rsid w:val="006C23B6"/>
  </w:style>
  <w:style w:type="character" w:customStyle="1" w:styleId="FootnoteTextChar">
    <w:name w:val="Footnote Text Char"/>
    <w:link w:val="FootnoteText"/>
    <w:uiPriority w:val="99"/>
    <w:semiHidden/>
    <w:unhideWhenUsed/>
    <w:rsid w:val="006C23B6"/>
    <w:rPr>
      <w:sz w:val="20"/>
      <w:szCs w:val="20"/>
    </w:rPr>
  </w:style>
  <w:style w:type="character" w:styleId="EndnoteReference">
    <w:name w:val="endnote reference"/>
    <w:uiPriority w:val="99"/>
    <w:semiHidden/>
    <w:unhideWhenUsed/>
    <w:rsid w:val="006C23B6"/>
    <w:rPr>
      <w:vertAlign w:val="superscript"/>
    </w:rPr>
  </w:style>
  <w:style w:type="paragraph" w:styleId="EndnoteText">
    <w:name w:val="endnote text"/>
    <w:link w:val="EndnoteTextChar"/>
    <w:uiPriority w:val="99"/>
    <w:semiHidden/>
    <w:unhideWhenUsed/>
    <w:rsid w:val="006C23B6"/>
  </w:style>
  <w:style w:type="character" w:customStyle="1" w:styleId="EndnoteTextChar">
    <w:name w:val="Endnote Text Char"/>
    <w:link w:val="EndnoteText"/>
    <w:uiPriority w:val="99"/>
    <w:semiHidden/>
    <w:unhideWhenUsed/>
    <w:rsid w:val="006C23B6"/>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2373</Words>
  <Characters>13527</Characters>
  <Application>Microsoft Office Word</Application>
  <DocSecurity>0</DocSecurity>
  <Lines>112</Lines>
  <Paragraphs>31</Paragraphs>
  <ScaleCrop>false</ScaleCrop>
  <Company>Grizli777</Company>
  <LinksUpToDate>false</LinksUpToDate>
  <CharactersWithSpaces>15869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3</cp:revision>
  <dcterms:created xsi:type="dcterms:W3CDTF">2026-06-17T11:23:00Z</dcterms:created>
  <dcterms:modified xsi:type="dcterms:W3CDTF">2026-06-17T11:23:00Z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