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6E9" w:rsidRDefault="00172DA5">
      <w:pPr>
        <w:spacing w:before="200" w:after="60"/>
      </w:pPr>
      <w:r>
        <w:rPr>
          <w:b/>
          <w:bCs/>
          <w:color w:val="1B3A6B"/>
          <w:sz w:val="40"/>
          <w:szCs w:val="40"/>
        </w:rPr>
        <w:t>HEALTHBRIDGE OCCUPATIONAL HEALTH LTD</w:t>
      </w:r>
    </w:p>
    <w:p w:rsidR="000826E9" w:rsidRDefault="00172DA5">
      <w:pPr>
        <w:spacing w:after="80"/>
      </w:pPr>
      <w:r>
        <w:rPr>
          <w:b/>
          <w:bCs/>
          <w:color w:val="1B3A6B"/>
          <w:sz w:val="28"/>
          <w:szCs w:val="28"/>
        </w:rPr>
        <w:t>Conflicts of Interest Policy</w:t>
      </w:r>
    </w:p>
    <w:p w:rsidR="000826E9" w:rsidRDefault="00172DA5">
      <w:pPr>
        <w:pBdr>
          <w:bottom w:val="thick" w:sz="12" w:space="3" w:color="1B3A6B"/>
        </w:pBdr>
        <w:spacing w:after="240"/>
      </w:pPr>
      <w:r>
        <w:rPr>
          <w:i/>
          <w:iCs/>
          <w:color w:val="6B7280"/>
          <w:sz w:val="19"/>
          <w:szCs w:val="19"/>
        </w:rPr>
        <w:t>GP-Led Occupational Health Services   |   Version 1.0   |   Effective 13 June 2026</w:t>
      </w:r>
    </w:p>
    <w:p w:rsidR="000826E9" w:rsidRDefault="000826E9">
      <w:pPr>
        <w:spacing w:before="80"/>
      </w:pPr>
    </w:p>
    <w:p w:rsidR="000826E9" w:rsidRDefault="00172DA5">
      <w:pPr>
        <w:spacing w:before="400" w:after="120"/>
      </w:pPr>
      <w:r>
        <w:rPr>
          <w:b/>
          <w:bCs/>
          <w:color w:val="1B3A6B"/>
          <w:sz w:val="28"/>
          <w:szCs w:val="28"/>
        </w:rPr>
        <w:t>1.  Purpose</w:t>
      </w:r>
    </w:p>
    <w:p w:rsidR="000826E9" w:rsidRDefault="000826E9">
      <w:pPr>
        <w:pBdr>
          <w:bottom w:val="single" w:sz="6" w:space="1" w:color="1B3A6B"/>
        </w:pBdr>
        <w:spacing w:before="60" w:after="200"/>
      </w:pPr>
    </w:p>
    <w:p w:rsidR="000826E9" w:rsidRDefault="00172DA5">
      <w:pPr>
        <w:spacing w:before="60" w:after="100"/>
      </w:pPr>
      <w:r>
        <w:rPr>
          <w:color w:val="1A1A2E"/>
        </w:rPr>
        <w:t xml:space="preserve">A conflict of interest arises where a personal, financial, or professional interest could influence — or could reasonably be seen to influence — the clinical judgement of an OH assessment, or the impartial conduct of HealthBridge's dealings with employers </w:t>
      </w:r>
      <w:r>
        <w:rPr>
          <w:color w:val="1A1A2E"/>
        </w:rPr>
        <w:t>and employees. This policy sets out how such conflicts are identified, declared, and managed, so that the independence of HealthBridge's clinical opinions is never genuinely or perceptibly compromised.</w:t>
      </w:r>
    </w:p>
    <w:p w:rsidR="000826E9" w:rsidRDefault="000826E9">
      <w:pPr>
        <w:spacing w:before="60"/>
      </w:pPr>
    </w:p>
    <w:p w:rsidR="000826E9" w:rsidRDefault="00172DA5">
      <w:pPr>
        <w:spacing w:before="60" w:after="100"/>
      </w:pPr>
      <w:r>
        <w:rPr>
          <w:color w:val="1A1A2E"/>
        </w:rPr>
        <w:t xml:space="preserve">This is informed by GMC Good Medical Practice (2024) </w:t>
      </w:r>
      <w:r>
        <w:rPr>
          <w:color w:val="1A1A2E"/>
        </w:rPr>
        <w:t>and the GMC's guidance on financial and commercial arrangements and conflicts of interest, both of which require doctors to act in their patients' best interests, to be open about any conflict, and to ensure that financial or commercial considerations neve</w:t>
      </w:r>
      <w:r>
        <w:rPr>
          <w:color w:val="1A1A2E"/>
        </w:rPr>
        <w:t>r affect clinical judgement.</w:t>
      </w:r>
    </w:p>
    <w:p w:rsidR="000826E9" w:rsidRDefault="000826E9">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0826E9">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0826E9" w:rsidRDefault="00172DA5">
            <w:r>
              <w:rPr>
                <w:i/>
                <w:iCs/>
                <w:color w:val="1B3A6B"/>
                <w:sz w:val="19"/>
                <w:szCs w:val="19"/>
              </w:rPr>
              <w:t>Dr. James Stanley provides HealthBridge services alongside NHS out-of-hours GP work. This dual role is a genuine and recurring source of potential conflict, and is given dedicated treatment in Section 4. It does not, on its ow</w:t>
            </w:r>
            <w:r>
              <w:rPr>
                <w:i/>
                <w:iCs/>
                <w:color w:val="1B3A6B"/>
                <w:sz w:val="19"/>
                <w:szCs w:val="19"/>
              </w:rPr>
              <w:t>n, prevent HealthBridge from operating — but it must be actively managed, not left unaddressed.</w:t>
            </w:r>
          </w:p>
        </w:tc>
      </w:tr>
    </w:tbl>
    <w:p w:rsidR="000826E9" w:rsidRDefault="000826E9">
      <w:pPr>
        <w:spacing w:before="80"/>
      </w:pPr>
    </w:p>
    <w:p w:rsidR="000826E9" w:rsidRDefault="00172DA5">
      <w:pPr>
        <w:spacing w:before="400" w:after="120"/>
      </w:pPr>
      <w:r>
        <w:rPr>
          <w:b/>
          <w:bCs/>
          <w:color w:val="1B3A6B"/>
          <w:sz w:val="28"/>
          <w:szCs w:val="28"/>
        </w:rPr>
        <w:t>2.  Scope</w:t>
      </w:r>
    </w:p>
    <w:p w:rsidR="000826E9" w:rsidRDefault="000826E9">
      <w:pPr>
        <w:pBdr>
          <w:bottom w:val="single" w:sz="6" w:space="1" w:color="1B3A6B"/>
        </w:pBdr>
        <w:spacing w:before="60" w:after="200"/>
      </w:pPr>
    </w:p>
    <w:p w:rsidR="000826E9" w:rsidRDefault="00172DA5">
      <w:pPr>
        <w:spacing w:before="60" w:after="100"/>
      </w:pPr>
      <w:r>
        <w:rPr>
          <w:color w:val="1A1A2E"/>
        </w:rPr>
        <w:t>This policy applies to all clinical, financial, and professional relationships connected to HealthBridge, including:</w:t>
      </w:r>
    </w:p>
    <w:p w:rsidR="000826E9" w:rsidRDefault="00172DA5">
      <w:pPr>
        <w:pStyle w:val="ListParagraph"/>
        <w:numPr>
          <w:ilvl w:val="0"/>
          <w:numId w:val="2"/>
        </w:numPr>
        <w:spacing w:before="40" w:after="40"/>
      </w:pPr>
      <w:r>
        <w:t>Referrals accepted from any employer or self-referring employee</w:t>
      </w:r>
    </w:p>
    <w:p w:rsidR="000826E9" w:rsidRDefault="00172DA5">
      <w:pPr>
        <w:pStyle w:val="ListParagraph"/>
        <w:numPr>
          <w:ilvl w:val="0"/>
          <w:numId w:val="2"/>
        </w:numPr>
        <w:spacing w:before="40" w:after="40"/>
      </w:pPr>
      <w:r>
        <w:t>Relationships with referring employers and their representatives</w:t>
      </w:r>
    </w:p>
    <w:p w:rsidR="000826E9" w:rsidRDefault="00172DA5">
      <w:pPr>
        <w:pStyle w:val="ListParagraph"/>
        <w:numPr>
          <w:ilvl w:val="0"/>
          <w:numId w:val="2"/>
        </w:numPr>
        <w:spacing w:before="40" w:after="40"/>
      </w:pPr>
      <w:r>
        <w:t>Relationships with employees being assessed</w:t>
      </w:r>
    </w:p>
    <w:p w:rsidR="000826E9" w:rsidRDefault="00172DA5">
      <w:pPr>
        <w:pStyle w:val="ListParagraph"/>
        <w:numPr>
          <w:ilvl w:val="0"/>
          <w:numId w:val="2"/>
        </w:numPr>
        <w:spacing w:before="40" w:after="40"/>
      </w:pPr>
      <w:r>
        <w:t xml:space="preserve">Financial and commercial relationships with contracted third parties (for example, </w:t>
      </w:r>
      <w:r>
        <w:t>interpreters, accountants, or software providers)</w:t>
      </w:r>
    </w:p>
    <w:p w:rsidR="000826E9" w:rsidRDefault="00172DA5">
      <w:pPr>
        <w:pStyle w:val="ListParagraph"/>
        <w:numPr>
          <w:ilvl w:val="0"/>
          <w:numId w:val="2"/>
        </w:numPr>
        <w:spacing w:before="40" w:after="40"/>
      </w:pPr>
      <w:r>
        <w:t>Dr. Stanley's concurrent professional roles, including NHS out-of-hours GP work</w:t>
      </w:r>
    </w:p>
    <w:p w:rsidR="000826E9" w:rsidRDefault="000826E9">
      <w:pPr>
        <w:spacing w:before="80"/>
      </w:pPr>
    </w:p>
    <w:p w:rsidR="000826E9" w:rsidRDefault="00172DA5">
      <w:pPr>
        <w:spacing w:before="400" w:after="120"/>
      </w:pPr>
      <w:r>
        <w:rPr>
          <w:b/>
          <w:bCs/>
          <w:color w:val="1B3A6B"/>
          <w:sz w:val="28"/>
          <w:szCs w:val="28"/>
        </w:rPr>
        <w:t>3.  What Is a Conflict of Interest?</w:t>
      </w:r>
    </w:p>
    <w:p w:rsidR="000826E9" w:rsidRDefault="000826E9">
      <w:pPr>
        <w:pBdr>
          <w:bottom w:val="single" w:sz="6" w:space="1" w:color="1B3A6B"/>
        </w:pBdr>
        <w:spacing w:before="60" w:after="200"/>
      </w:pPr>
    </w:p>
    <w:p w:rsidR="000826E9" w:rsidRDefault="00172DA5">
      <w:pPr>
        <w:spacing w:before="280" w:after="100"/>
      </w:pPr>
      <w:r>
        <w:rPr>
          <w:b/>
          <w:bCs/>
          <w:color w:val="1B3A6B"/>
          <w:sz w:val="22"/>
          <w:szCs w:val="22"/>
        </w:rPr>
        <w:t>3.1  Categories</w:t>
      </w:r>
    </w:p>
    <w:p w:rsidR="000826E9" w:rsidRDefault="000826E9">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0"/>
        <w:gridCol w:w="6226"/>
      </w:tblGrid>
      <w:tr w:rsidR="000826E9">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826E9" w:rsidRDefault="00172DA5">
            <w:r>
              <w:rPr>
                <w:b/>
                <w:bCs/>
                <w:color w:val="FFFFFF"/>
                <w:sz w:val="19"/>
                <w:szCs w:val="19"/>
              </w:rPr>
              <w:t>Category</w:t>
            </w:r>
          </w:p>
        </w:tc>
        <w:tc>
          <w:tcPr>
            <w:tcW w:w="6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826E9" w:rsidRDefault="00172DA5">
            <w:r>
              <w:rPr>
                <w:b/>
                <w:bCs/>
                <w:color w:val="FFFFFF"/>
                <w:sz w:val="19"/>
                <w:szCs w:val="19"/>
              </w:rPr>
              <w:t>Examples</w:t>
            </w:r>
          </w:p>
        </w:tc>
      </w:tr>
      <w:tr w:rsidR="000826E9">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b/>
                <w:bCs/>
                <w:sz w:val="19"/>
                <w:szCs w:val="19"/>
              </w:rPr>
              <w:lastRenderedPageBreak/>
              <w:t>Personal relationship</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Family member, close friend, romantic partner, or other close personal connection is the employee being assessed, or is the referring contact at the employer.</w:t>
            </w:r>
          </w:p>
        </w:tc>
      </w:tr>
      <w:tr w:rsidR="000826E9">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b/>
                <w:bCs/>
                <w:sz w:val="19"/>
                <w:szCs w:val="19"/>
              </w:rPr>
              <w:t>Professional dual-role</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Concurrent clinical roles creating overlap — most significantly, NHS out-of-hours GP work alongside HealthBridge (see Section 4).</w:t>
            </w:r>
          </w:p>
        </w:tc>
      </w:tr>
      <w:tr w:rsidR="000826E9">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b/>
                <w:bCs/>
                <w:sz w:val="19"/>
                <w:szCs w:val="19"/>
              </w:rPr>
              <w:t>Financial</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Any financial interest that could be affected by a clinical decision — for example, a shareholding or financial sta</w:t>
            </w:r>
            <w:r>
              <w:rPr>
                <w:sz w:val="19"/>
                <w:szCs w:val="19"/>
              </w:rPr>
              <w:t>ke in a referring organisation, or any arrangement involving payment or commission tied to referral volume or outcome.</w:t>
            </w:r>
          </w:p>
        </w:tc>
      </w:tr>
      <w:tr w:rsidR="000826E9">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b/>
                <w:bCs/>
                <w:sz w:val="19"/>
                <w:szCs w:val="19"/>
              </w:rPr>
              <w:t>Gifts and hospitality</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Any gift, hospitality, or other benefit offered by a referring employer, employee, or third party that could be se</w:t>
            </w:r>
            <w:r>
              <w:rPr>
                <w:sz w:val="19"/>
                <w:szCs w:val="19"/>
              </w:rPr>
              <w:t>en as an inducement.</w:t>
            </w:r>
          </w:p>
        </w:tc>
      </w:tr>
    </w:tbl>
    <w:p w:rsidR="000826E9" w:rsidRDefault="000826E9">
      <w:pPr>
        <w:spacing w:before="80"/>
      </w:pPr>
    </w:p>
    <w:p w:rsidR="000826E9" w:rsidRDefault="00172DA5">
      <w:pPr>
        <w:spacing w:before="280" w:after="100"/>
      </w:pPr>
      <w:r>
        <w:rPr>
          <w:b/>
          <w:bCs/>
          <w:color w:val="1B3A6B"/>
          <w:sz w:val="22"/>
          <w:szCs w:val="22"/>
        </w:rPr>
        <w:t>3.2  Degree of Conflict</w:t>
      </w:r>
    </w:p>
    <w:p w:rsidR="000826E9" w:rsidRDefault="00172DA5">
      <w:pPr>
        <w:spacing w:before="60" w:after="100"/>
      </w:pPr>
      <w:r>
        <w:rPr>
          <w:color w:val="1A1A2E"/>
        </w:rPr>
        <w:t>Conflicts are treated seriously regardless of whether they are actual, potential, or merely perceived — because trust in an OH opinion depends on how it could reasonably be seen, not only on what actually infl</w:t>
      </w:r>
      <w:r>
        <w:rPr>
          <w:color w:val="1A1A2E"/>
        </w:rPr>
        <w:t>uenced it.</w:t>
      </w:r>
    </w:p>
    <w:p w:rsidR="000826E9" w:rsidRDefault="00172DA5">
      <w:pPr>
        <w:pStyle w:val="ListParagraph"/>
        <w:numPr>
          <w:ilvl w:val="0"/>
          <w:numId w:val="2"/>
        </w:numPr>
        <w:spacing w:before="40" w:after="40"/>
      </w:pPr>
      <w:r>
        <w:t>Actual conflict: a real, current conflict directly affecting a specific assessment or decision.</w:t>
      </w:r>
    </w:p>
    <w:p w:rsidR="000826E9" w:rsidRDefault="00172DA5">
      <w:pPr>
        <w:pStyle w:val="ListParagraph"/>
        <w:numPr>
          <w:ilvl w:val="0"/>
          <w:numId w:val="2"/>
        </w:numPr>
        <w:spacing w:before="40" w:after="40"/>
      </w:pPr>
      <w:r>
        <w:t>Potential conflict: circumstances that could develop into an actual conflict if not managed (for example, accepting a referral from an employer where a personal connection exists but has not yet become directly relevant).</w:t>
      </w:r>
    </w:p>
    <w:p w:rsidR="000826E9" w:rsidRDefault="00172DA5">
      <w:pPr>
        <w:pStyle w:val="ListParagraph"/>
        <w:numPr>
          <w:ilvl w:val="0"/>
          <w:numId w:val="2"/>
        </w:numPr>
        <w:spacing w:before="40" w:after="40"/>
      </w:pPr>
      <w:r>
        <w:t>Perceived conflict: a situation th</w:t>
      </w:r>
      <w:r>
        <w:t>at, while not in fact affecting clinical judgement, could reasonably appear to a third party to do so. This is managed with the same care as an actual conflict, because the credibility of the service depends on it.</w:t>
      </w:r>
    </w:p>
    <w:p w:rsidR="000826E9" w:rsidRDefault="000826E9">
      <w:pPr>
        <w:spacing w:before="80"/>
      </w:pPr>
    </w:p>
    <w:p w:rsidR="000826E9" w:rsidRDefault="00172DA5">
      <w:pPr>
        <w:spacing w:before="400" w:after="120"/>
      </w:pPr>
      <w:r>
        <w:rPr>
          <w:b/>
          <w:bCs/>
          <w:color w:val="1B3A6B"/>
          <w:sz w:val="28"/>
          <w:szCs w:val="28"/>
        </w:rPr>
        <w:t xml:space="preserve">4.  The Particular Conflict: Concurrent </w:t>
      </w:r>
      <w:r>
        <w:rPr>
          <w:b/>
          <w:bCs/>
          <w:color w:val="1B3A6B"/>
          <w:sz w:val="28"/>
          <w:szCs w:val="28"/>
        </w:rPr>
        <w:t>NHS and Private Practice</w:t>
      </w:r>
    </w:p>
    <w:p w:rsidR="000826E9" w:rsidRDefault="000826E9">
      <w:pPr>
        <w:pBdr>
          <w:bottom w:val="single" w:sz="6" w:space="1" w:color="1B3A6B"/>
        </w:pBdr>
        <w:spacing w:before="60" w:after="200"/>
      </w:pPr>
    </w:p>
    <w:p w:rsidR="000826E9" w:rsidRDefault="00172DA5">
      <w:pPr>
        <w:spacing w:before="280" w:after="100"/>
      </w:pPr>
      <w:r>
        <w:rPr>
          <w:b/>
          <w:bCs/>
          <w:color w:val="1B3A6B"/>
          <w:sz w:val="22"/>
          <w:szCs w:val="22"/>
        </w:rPr>
        <w:t>4.1  Nature of the Dual Role</w:t>
      </w:r>
    </w:p>
    <w:p w:rsidR="000826E9" w:rsidRDefault="00172DA5">
      <w:pPr>
        <w:spacing w:before="60" w:after="100"/>
      </w:pPr>
      <w:r>
        <w:rPr>
          <w:color w:val="1A1A2E"/>
        </w:rPr>
        <w:t>Dr. Stanley provides NHS out-of-hours GP services alongside HealthBridge. This combination provides financial stability and scheduling flexibility that supports HealthBridge's development, and is a leg</w:t>
      </w:r>
      <w:r>
        <w:rPr>
          <w:color w:val="1A1A2E"/>
        </w:rPr>
        <w:t>itimate and common arrangement for GPs. However, the two roles must remain operationally and clinically separate at all times.</w:t>
      </w:r>
    </w:p>
    <w:p w:rsidR="000826E9" w:rsidRDefault="000826E9">
      <w:pPr>
        <w:spacing w:before="80"/>
      </w:pPr>
    </w:p>
    <w:p w:rsidR="000826E9" w:rsidRDefault="00172DA5">
      <w:pPr>
        <w:spacing w:before="280" w:after="100"/>
      </w:pPr>
      <w:r>
        <w:rPr>
          <w:b/>
          <w:bCs/>
          <w:color w:val="1B3A6B"/>
          <w:sz w:val="22"/>
          <w:szCs w:val="22"/>
        </w:rPr>
        <w:t>4.2  Where the Same Individual Appears in Both Contexts</w:t>
      </w:r>
    </w:p>
    <w:p w:rsidR="000826E9" w:rsidRDefault="00172DA5">
      <w:pPr>
        <w:spacing w:before="60" w:after="100"/>
      </w:pPr>
      <w:r>
        <w:rPr>
          <w:color w:val="1A1A2E"/>
        </w:rPr>
        <w:t xml:space="preserve">Given that both roles operate in overlapping geographic areas, there is </w:t>
      </w:r>
      <w:r>
        <w:rPr>
          <w:color w:val="1A1A2E"/>
        </w:rPr>
        <w:t>a realistic possibility that an employee referred to HealthBridge could also be encountered, now or in the future, as an NHS out-of-hours patient — or vice versa. Where this is identified:</w:t>
      </w:r>
    </w:p>
    <w:p w:rsidR="000826E9" w:rsidRDefault="00172DA5">
      <w:pPr>
        <w:pStyle w:val="ListParagraph"/>
        <w:numPr>
          <w:ilvl w:val="0"/>
          <w:numId w:val="2"/>
        </w:numPr>
        <w:spacing w:before="40" w:after="40"/>
      </w:pPr>
      <w:r>
        <w:t>If recognised before or at the start of an OH assessment, Dr. Stanl</w:t>
      </w:r>
      <w:r>
        <w:t>ey declares this to himself as a potential conflict and considers whether independent, objective clinical judgement can still be exercised.</w:t>
      </w:r>
    </w:p>
    <w:p w:rsidR="000826E9" w:rsidRDefault="00172DA5">
      <w:pPr>
        <w:pStyle w:val="ListParagraph"/>
        <w:numPr>
          <w:ilvl w:val="0"/>
          <w:numId w:val="2"/>
        </w:numPr>
        <w:spacing w:before="40" w:after="40"/>
      </w:pPr>
      <w:r>
        <w:t>Information from the NHS out-of-hours encounter is never used in the OH assessment, and information from the OH asse</w:t>
      </w:r>
      <w:r>
        <w:t>ssment is never carried into NHS care, without the individual's explicit consent. The two records and the two relationships remain fully separate.</w:t>
      </w:r>
    </w:p>
    <w:p w:rsidR="000826E9" w:rsidRDefault="00172DA5">
      <w:pPr>
        <w:pStyle w:val="ListParagraph"/>
        <w:numPr>
          <w:ilvl w:val="0"/>
          <w:numId w:val="2"/>
        </w:numPr>
        <w:spacing w:before="40" w:after="40"/>
      </w:pPr>
      <w:r>
        <w:t xml:space="preserve">Where Dr. Stanley has recently provided NHS care to the same individual in a way directly relevant to the OH </w:t>
      </w:r>
      <w:r>
        <w:t>question being asked (for example, having assessed the same injury or condition very recently in an out-of-hours context), this is treated as a material conflict. The default position is to decline the OH referral and advise the employer that an alternativ</w:t>
      </w:r>
      <w:r>
        <w:t>e independent assessor should be used for this case, without disclosing any clinical detail about the NHS encounter.</w:t>
      </w:r>
    </w:p>
    <w:p w:rsidR="000826E9" w:rsidRDefault="00172DA5">
      <w:pPr>
        <w:pStyle w:val="ListParagraph"/>
        <w:numPr>
          <w:ilvl w:val="0"/>
          <w:numId w:val="2"/>
        </w:numPr>
        <w:spacing w:before="40" w:after="40"/>
      </w:pPr>
      <w:r>
        <w:lastRenderedPageBreak/>
        <w:t xml:space="preserve">Where the overlap is incidental and not clinically material (for example, simply recognising a name with no relevant clinical connection), </w:t>
      </w:r>
      <w:r>
        <w:t>the assessment may proceed, with the awareness documented in the Conflicts of Interest Register (Section 10).</w:t>
      </w:r>
    </w:p>
    <w:p w:rsidR="000826E9" w:rsidRDefault="000826E9">
      <w:pPr>
        <w:spacing w:before="80"/>
      </w:pPr>
    </w:p>
    <w:p w:rsidR="000826E9" w:rsidRDefault="00172DA5">
      <w:pPr>
        <w:spacing w:before="280" w:after="100"/>
      </w:pPr>
      <w:r>
        <w:rPr>
          <w:b/>
          <w:bCs/>
          <w:color w:val="1B3A6B"/>
          <w:sz w:val="22"/>
          <w:szCs w:val="22"/>
        </w:rPr>
        <w:t>4.3  Workload and Fitness to Practise</w:t>
      </w:r>
    </w:p>
    <w:p w:rsidR="000826E9" w:rsidRDefault="00172DA5">
      <w:pPr>
        <w:spacing w:before="60" w:after="100"/>
      </w:pPr>
      <w:r>
        <w:rPr>
          <w:color w:val="1A1A2E"/>
        </w:rPr>
        <w:t>Combining NHS out-of-hours shifts with HealthBridge assessments is monitored to ensure neither role is comp</w:t>
      </w:r>
      <w:r>
        <w:rPr>
          <w:color w:val="1A1A2E"/>
        </w:rPr>
        <w:t>romised by fatigue or overcommitment. The existing workload cap in the Clinical Governance Policy (maximum 4 HealthBridge assessments per working day) is maintained specifically with this dual workload in mind. Dr. Stanley does not conduct HealthBridge ass</w:t>
      </w:r>
      <w:r>
        <w:rPr>
          <w:color w:val="1A1A2E"/>
        </w:rPr>
        <w:t>essments immediately following an out-of-hours shift where this would affect the quality or safety of the assessment.</w:t>
      </w:r>
    </w:p>
    <w:p w:rsidR="000826E9" w:rsidRDefault="000826E9">
      <w:pPr>
        <w:spacing w:before="80"/>
      </w:pPr>
    </w:p>
    <w:p w:rsidR="000826E9" w:rsidRDefault="00172DA5">
      <w:pPr>
        <w:spacing w:before="280" w:after="100"/>
      </w:pPr>
      <w:r>
        <w:rPr>
          <w:b/>
          <w:bCs/>
          <w:color w:val="1B3A6B"/>
          <w:sz w:val="22"/>
          <w:szCs w:val="22"/>
        </w:rPr>
        <w:t>4.4  Maintaining Separation of Records and Information</w:t>
      </w:r>
    </w:p>
    <w:p w:rsidR="000826E9" w:rsidRDefault="00172DA5">
      <w:pPr>
        <w:spacing w:before="60" w:after="100"/>
      </w:pPr>
      <w:r>
        <w:rPr>
          <w:color w:val="1A1A2E"/>
        </w:rPr>
        <w:t>HealthBridge clinical records and NHS clinical records are held on entirely separa</w:t>
      </w:r>
      <w:r>
        <w:rPr>
          <w:color w:val="1A1A2E"/>
        </w:rPr>
        <w:t>te systems, accessed and maintained independently, in line with the Confidentiality Policy. No cross-referencing between the two occurs other than with the explicit consent process already described in the Consent Policy (for example, requesting GP corresp</w:t>
      </w:r>
      <w:r>
        <w:rPr>
          <w:color w:val="1A1A2E"/>
        </w:rPr>
        <w:t>ondence with the individual's specific permission).</w:t>
      </w:r>
    </w:p>
    <w:p w:rsidR="000826E9" w:rsidRDefault="000826E9">
      <w:pPr>
        <w:spacing w:before="80"/>
      </w:pPr>
    </w:p>
    <w:p w:rsidR="000826E9" w:rsidRDefault="00172DA5">
      <w:pPr>
        <w:spacing w:before="400" w:after="120"/>
      </w:pPr>
      <w:r>
        <w:rPr>
          <w:b/>
          <w:bCs/>
          <w:color w:val="1B3A6B"/>
          <w:sz w:val="28"/>
          <w:szCs w:val="28"/>
        </w:rPr>
        <w:t>5.  Personal and Professional Relationships</w:t>
      </w:r>
    </w:p>
    <w:p w:rsidR="000826E9" w:rsidRDefault="000826E9">
      <w:pPr>
        <w:pBdr>
          <w:bottom w:val="single" w:sz="6" w:space="1" w:color="1B3A6B"/>
        </w:pBdr>
        <w:spacing w:before="60" w:after="200"/>
      </w:pPr>
    </w:p>
    <w:p w:rsidR="000826E9" w:rsidRDefault="00172DA5">
      <w:pPr>
        <w:spacing w:before="60" w:after="100"/>
      </w:pPr>
      <w:r>
        <w:rPr>
          <w:color w:val="1A1A2E"/>
        </w:rPr>
        <w:t>Where Dr. Stanley has a personal or close professional connection to an employee being referred, or to the individual making the referral on behalf of an employer — for example, a family member, close friend, former patient with a significant personal hist</w:t>
      </w:r>
      <w:r>
        <w:rPr>
          <w:color w:val="1A1A2E"/>
        </w:rPr>
        <w:t>ory, or close business associate — this is treated as a conflict requiring active management:</w:t>
      </w:r>
    </w:p>
    <w:p w:rsidR="000826E9" w:rsidRDefault="00172DA5">
      <w:pPr>
        <w:pStyle w:val="ListParagraph"/>
        <w:numPr>
          <w:ilvl w:val="0"/>
          <w:numId w:val="2"/>
        </w:numPr>
        <w:spacing w:before="40" w:after="40"/>
      </w:pPr>
      <w:r>
        <w:t>The connection is identified at referral triage wherever possible, before an appointment is confirmed (see Section 8).</w:t>
      </w:r>
    </w:p>
    <w:p w:rsidR="000826E9" w:rsidRDefault="00172DA5">
      <w:pPr>
        <w:pStyle w:val="ListParagraph"/>
        <w:numPr>
          <w:ilvl w:val="0"/>
          <w:numId w:val="2"/>
        </w:numPr>
        <w:spacing w:before="40" w:after="40"/>
      </w:pPr>
      <w:r>
        <w:t>Where the connection is close enough that independent, objective clinical judgement could reasonably be questioned, the referral is declined and the employer is advised that HealthBridge is unable to accept this particular case, with a recommendation to se</w:t>
      </w:r>
      <w:r>
        <w:t>ek an alternative provider. The specific nature of the personal connection is not disclosed.</w:t>
      </w:r>
    </w:p>
    <w:p w:rsidR="000826E9" w:rsidRDefault="00172DA5">
      <w:pPr>
        <w:pStyle w:val="ListParagraph"/>
        <w:numPr>
          <w:ilvl w:val="0"/>
          <w:numId w:val="2"/>
        </w:numPr>
        <w:spacing w:before="40" w:after="40"/>
      </w:pPr>
      <w:r>
        <w:t>Where the connection is more distant (for example, a former colleague from many years ago with no ongoing relationship), the assessment may proceed, with the conne</w:t>
      </w:r>
      <w:r>
        <w:t>ction noted in the Conflicts of Interest Register.</w:t>
      </w:r>
    </w:p>
    <w:p w:rsidR="000826E9" w:rsidRDefault="000826E9">
      <w:pPr>
        <w:spacing w:before="80"/>
      </w:pPr>
    </w:p>
    <w:p w:rsidR="000826E9" w:rsidRDefault="00172DA5">
      <w:pPr>
        <w:spacing w:before="400" w:after="120"/>
      </w:pPr>
      <w:r>
        <w:rPr>
          <w:b/>
          <w:bCs/>
          <w:color w:val="1B3A6B"/>
          <w:sz w:val="28"/>
          <w:szCs w:val="28"/>
        </w:rPr>
        <w:t>6.  Financial Interests and Commercial Relationships</w:t>
      </w:r>
    </w:p>
    <w:p w:rsidR="000826E9" w:rsidRDefault="000826E9">
      <w:pPr>
        <w:pBdr>
          <w:bottom w:val="single" w:sz="6" w:space="1" w:color="1B3A6B"/>
        </w:pBdr>
        <w:spacing w:before="60" w:after="200"/>
      </w:pPr>
    </w:p>
    <w:p w:rsidR="000826E9" w:rsidRDefault="00172DA5">
      <w:pPr>
        <w:pStyle w:val="ListParagraph"/>
        <w:numPr>
          <w:ilvl w:val="0"/>
          <w:numId w:val="2"/>
        </w:numPr>
        <w:spacing w:before="40" w:after="40"/>
      </w:pPr>
      <w:r>
        <w:t>HealthBridge does not pay or receive commission, referral fees, or any other financial inducement in exchange for referrals, from any employer, broker</w:t>
      </w:r>
      <w:r>
        <w:t>, intermediary, or other party.</w:t>
      </w:r>
    </w:p>
    <w:p w:rsidR="000826E9" w:rsidRDefault="00172DA5">
      <w:pPr>
        <w:pStyle w:val="ListParagraph"/>
        <w:numPr>
          <w:ilvl w:val="0"/>
          <w:numId w:val="2"/>
        </w:numPr>
        <w:spacing w:before="40" w:after="40"/>
      </w:pPr>
      <w:r>
        <w:t>Fees are charged transparently in line with the Payment and Cancellation Policy and do not vary based on the clinical outcome or opinion given. A fitness opinion is never influenced by the fee charged or by any commercial re</w:t>
      </w:r>
      <w:r>
        <w:t>lationship with the referring employer.</w:t>
      </w:r>
    </w:p>
    <w:p w:rsidR="000826E9" w:rsidRDefault="00172DA5">
      <w:pPr>
        <w:pStyle w:val="ListParagraph"/>
        <w:numPr>
          <w:ilvl w:val="0"/>
          <w:numId w:val="2"/>
        </w:numPr>
        <w:spacing w:before="40" w:after="40"/>
      </w:pPr>
      <w:r>
        <w:t>Where Dr. Stanley holds a material financial interest in a referring employer's business (for example, a shareholding), this is declared and the referral is generally declined in favour of an alternative provider.</w:t>
      </w:r>
    </w:p>
    <w:p w:rsidR="000826E9" w:rsidRDefault="00172DA5">
      <w:pPr>
        <w:pStyle w:val="ListParagraph"/>
        <w:numPr>
          <w:ilvl w:val="0"/>
          <w:numId w:val="2"/>
        </w:numPr>
        <w:spacing w:before="40" w:after="40"/>
      </w:pPr>
      <w:r>
        <w:t>Co</w:t>
      </w:r>
      <w:r>
        <w:t>ntracted third parties — such as interpreters, accountants, or software providers — are selected on merit and suitability for the task, not because of any personal financial relationship with Dr. Stanley. Any such personal financial relationship, if it exi</w:t>
      </w:r>
      <w:r>
        <w:t>sted, would be declared and considered before engaging that provider.</w:t>
      </w:r>
    </w:p>
    <w:p w:rsidR="000826E9" w:rsidRDefault="000826E9">
      <w:pPr>
        <w:spacing w:before="80"/>
      </w:pPr>
    </w:p>
    <w:p w:rsidR="000826E9" w:rsidRDefault="00172DA5">
      <w:pPr>
        <w:spacing w:before="400" w:after="120"/>
      </w:pPr>
      <w:r>
        <w:rPr>
          <w:b/>
          <w:bCs/>
          <w:color w:val="1B3A6B"/>
          <w:sz w:val="28"/>
          <w:szCs w:val="28"/>
        </w:rPr>
        <w:t>7.  Gifts, Hospitality, and Inducements</w:t>
      </w:r>
    </w:p>
    <w:p w:rsidR="000826E9" w:rsidRDefault="000826E9">
      <w:pPr>
        <w:pBdr>
          <w:bottom w:val="single" w:sz="6" w:space="1" w:color="1B3A6B"/>
        </w:pBdr>
        <w:spacing w:before="60" w:after="200"/>
      </w:pPr>
    </w:p>
    <w:p w:rsidR="000826E9" w:rsidRDefault="00172DA5">
      <w:pPr>
        <w:spacing w:before="60" w:after="100"/>
      </w:pPr>
      <w:r>
        <w:rPr>
          <w:color w:val="1A1A2E"/>
        </w:rPr>
        <w:t>HealthBridge does not accept gifts, hospitality, or other benefits from employers, employees, or third parties where these could reasonably be s</w:t>
      </w:r>
      <w:r>
        <w:rPr>
          <w:color w:val="1A1A2E"/>
        </w:rPr>
        <w:t>een as an attempt to influence a clinical opinion or business decision.</w:t>
      </w:r>
    </w:p>
    <w:p w:rsidR="000826E9" w:rsidRDefault="00172DA5">
      <w:pPr>
        <w:pStyle w:val="ListParagraph"/>
        <w:numPr>
          <w:ilvl w:val="0"/>
          <w:numId w:val="2"/>
        </w:numPr>
        <w:spacing w:before="40" w:after="40"/>
      </w:pPr>
      <w:r>
        <w:t>Modest, token gestures of thanks (for example, a low-value gift card or a small gift after a positive engagement) may be accepted where declining would be disproportionate or discourte</w:t>
      </w:r>
      <w:r>
        <w:t>ous, but are logged in the Conflicts of Interest Register regardless of value.</w:t>
      </w:r>
    </w:p>
    <w:p w:rsidR="000826E9" w:rsidRDefault="00172DA5">
      <w:pPr>
        <w:pStyle w:val="ListParagraph"/>
        <w:numPr>
          <w:ilvl w:val="0"/>
          <w:numId w:val="2"/>
        </w:numPr>
        <w:spacing w:before="40" w:after="40"/>
      </w:pPr>
      <w:r>
        <w:t>Any gift or hospitality offered in connection with, or appearing to be linked to, a specific clinical decision or referral outcome is declined.</w:t>
      </w:r>
    </w:p>
    <w:p w:rsidR="000826E9" w:rsidRDefault="000826E9">
      <w:pPr>
        <w:spacing w:before="80"/>
      </w:pPr>
    </w:p>
    <w:p w:rsidR="000826E9" w:rsidRDefault="00172DA5">
      <w:pPr>
        <w:spacing w:before="400" w:after="120"/>
      </w:pPr>
      <w:r>
        <w:rPr>
          <w:b/>
          <w:bCs/>
          <w:color w:val="1B3A6B"/>
          <w:sz w:val="28"/>
          <w:szCs w:val="28"/>
        </w:rPr>
        <w:t xml:space="preserve">8.  Identifying and Declaring a </w:t>
      </w:r>
      <w:r>
        <w:rPr>
          <w:b/>
          <w:bCs/>
          <w:color w:val="1B3A6B"/>
          <w:sz w:val="28"/>
          <w:szCs w:val="28"/>
        </w:rPr>
        <w:t>Conflict</w:t>
      </w:r>
    </w:p>
    <w:p w:rsidR="000826E9" w:rsidRDefault="000826E9">
      <w:pPr>
        <w:pBdr>
          <w:bottom w:val="single" w:sz="6" w:space="1" w:color="1B3A6B"/>
        </w:pBdr>
        <w:spacing w:before="60" w:after="200"/>
      </w:pPr>
    </w:p>
    <w:p w:rsidR="000826E9" w:rsidRDefault="00172DA5">
      <w:pPr>
        <w:spacing w:before="60" w:after="100"/>
      </w:pPr>
      <w:r>
        <w:rPr>
          <w:color w:val="1A1A2E"/>
        </w:rPr>
        <w:t>Conflict screening is built into the existing referral triage process described in the Referral and Reporting Policy. On receipt of each referral, in addition to the scope checks already carried out, Dr. Stanley considers:</w:t>
      </w:r>
    </w:p>
    <w:p w:rsidR="000826E9" w:rsidRDefault="00172DA5">
      <w:pPr>
        <w:pStyle w:val="ListParagraph"/>
        <w:numPr>
          <w:ilvl w:val="0"/>
          <w:numId w:val="2"/>
        </w:numPr>
        <w:spacing w:before="40" w:after="40"/>
      </w:pPr>
      <w:r>
        <w:t>Is the employee, or the</w:t>
      </w:r>
      <w:r>
        <w:t xml:space="preserve"> individual making the referral, personally known to me in a way that could affect my objectivity?</w:t>
      </w:r>
    </w:p>
    <w:p w:rsidR="000826E9" w:rsidRDefault="00172DA5">
      <w:pPr>
        <w:pStyle w:val="ListParagraph"/>
        <w:numPr>
          <w:ilvl w:val="0"/>
          <w:numId w:val="2"/>
        </w:numPr>
        <w:spacing w:before="40" w:after="40"/>
      </w:pPr>
      <w:r>
        <w:t>Do I have any financial interest in this employer's business?</w:t>
      </w:r>
    </w:p>
    <w:p w:rsidR="000826E9" w:rsidRDefault="00172DA5">
      <w:pPr>
        <w:pStyle w:val="ListParagraph"/>
        <w:numPr>
          <w:ilvl w:val="0"/>
          <w:numId w:val="2"/>
        </w:numPr>
        <w:spacing w:before="40" w:after="40"/>
      </w:pPr>
      <w:r>
        <w:t>Have I had any recent, clinically relevant contact with this individual through my NHS out-of-h</w:t>
      </w:r>
      <w:r>
        <w:t>ours role?</w:t>
      </w:r>
    </w:p>
    <w:p w:rsidR="000826E9" w:rsidRDefault="000826E9">
      <w:pPr>
        <w:spacing w:before="60"/>
      </w:pPr>
    </w:p>
    <w:p w:rsidR="000826E9" w:rsidRDefault="00172DA5">
      <w:pPr>
        <w:spacing w:before="60" w:after="100"/>
      </w:pPr>
      <w:r>
        <w:rPr>
          <w:color w:val="1A1A2E"/>
        </w:rPr>
        <w:t>Where a conflict is identified for the first time after an assessment has already begun — for example, recognising an employee partway through a video consultation — the assessment is paused, the conflict is assessed for materiality, and a decision is made</w:t>
      </w:r>
      <w:r>
        <w:rPr>
          <w:color w:val="1A1A2E"/>
        </w:rPr>
        <w:t xml:space="preserve"> in line with Section 9 before continuing or stopping.</w:t>
      </w:r>
    </w:p>
    <w:p w:rsidR="000826E9" w:rsidRDefault="000826E9">
      <w:pPr>
        <w:spacing w:before="80"/>
      </w:pPr>
    </w:p>
    <w:p w:rsidR="000826E9" w:rsidRDefault="00172DA5">
      <w:pPr>
        <w:spacing w:before="400" w:after="120"/>
      </w:pPr>
      <w:r>
        <w:rPr>
          <w:b/>
          <w:bCs/>
          <w:color w:val="1B3A6B"/>
          <w:sz w:val="28"/>
          <w:szCs w:val="28"/>
        </w:rPr>
        <w:t>9.  Managing a Conflict Once Identified</w:t>
      </w:r>
    </w:p>
    <w:p w:rsidR="000826E9" w:rsidRDefault="000826E9">
      <w:pPr>
        <w:pBdr>
          <w:bottom w:val="single" w:sz="6" w:space="1" w:color="1B3A6B"/>
        </w:pBdr>
        <w:spacing w:before="60" w:after="200"/>
      </w:pPr>
    </w:p>
    <w:p w:rsidR="000826E9" w:rsidRDefault="00172DA5">
      <w:pPr>
        <w:spacing w:before="60" w:after="100"/>
      </w:pPr>
      <w:r>
        <w:rPr>
          <w:color w:val="1A1A2E"/>
        </w:rPr>
        <w:t>Once a conflict is identified, one of the following actions is taken, in order of preference depending on materiality:</w:t>
      </w:r>
    </w:p>
    <w:p w:rsidR="000826E9" w:rsidRDefault="000826E9">
      <w:pPr>
        <w:spacing w:before="40"/>
      </w:pPr>
    </w:p>
    <w:p w:rsidR="000826E9" w:rsidRDefault="00172DA5">
      <w:pPr>
        <w:pStyle w:val="ListParagraph"/>
        <w:numPr>
          <w:ilvl w:val="0"/>
          <w:numId w:val="3"/>
        </w:numPr>
        <w:spacing w:before="40" w:after="60"/>
      </w:pPr>
      <w:r>
        <w:t>Proceed with the case noted in the regi</w:t>
      </w:r>
      <w:r>
        <w:t>ster — appropriate only where the conflict is minor, distant, or purely perceived, and where independent clinical judgement is clearly unaffected.</w:t>
      </w:r>
    </w:p>
    <w:p w:rsidR="000826E9" w:rsidRDefault="00172DA5">
      <w:pPr>
        <w:pStyle w:val="ListParagraph"/>
        <w:numPr>
          <w:ilvl w:val="0"/>
          <w:numId w:val="3"/>
        </w:numPr>
        <w:spacing w:before="40" w:after="60"/>
      </w:pPr>
      <w:r>
        <w:t>Decline or step back from the specific case — the default position for any material personal, financial, or d</w:t>
      </w:r>
      <w:r>
        <w:t>ual-role conflict. The employer is informed only that HealthBridge is unable to accept or continue with this particular referral, and is advised to seek an alternative provider. No detail of the underlying conflict is disclosed if doing so would breach con</w:t>
      </w:r>
      <w:r>
        <w:t>fidentiality owed to any individual.</w:t>
      </w:r>
    </w:p>
    <w:p w:rsidR="000826E9" w:rsidRDefault="00172DA5">
      <w:pPr>
        <w:pStyle w:val="ListParagraph"/>
        <w:numPr>
          <w:ilvl w:val="0"/>
          <w:numId w:val="3"/>
        </w:numPr>
        <w:spacing w:before="40" w:after="60"/>
      </w:pPr>
      <w:r>
        <w:t>Seek MPS guidance — used for borderline or unusual cases where the right course of action is genuinely unclear.</w:t>
      </w:r>
    </w:p>
    <w:p w:rsidR="000826E9" w:rsidRDefault="000826E9">
      <w:pPr>
        <w:spacing w:before="8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0826E9">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0826E9" w:rsidRDefault="00172DA5">
            <w:r>
              <w:rPr>
                <w:i/>
                <w:iCs/>
                <w:color w:val="1B3A6B"/>
                <w:sz w:val="19"/>
                <w:szCs w:val="19"/>
              </w:rPr>
              <w:t>A case is never continued where independent clinical judgement cannot honestly be maintained, regardless o</w:t>
            </w:r>
            <w:r>
              <w:rPr>
                <w:i/>
                <w:iCs/>
                <w:color w:val="1B3A6B"/>
                <w:sz w:val="19"/>
                <w:szCs w:val="19"/>
              </w:rPr>
              <w:t>f the inconvenience of declining or the relationship with the referring employer.</w:t>
            </w:r>
          </w:p>
        </w:tc>
      </w:tr>
    </w:tbl>
    <w:p w:rsidR="000826E9" w:rsidRDefault="000826E9">
      <w:pPr>
        <w:spacing w:before="80"/>
      </w:pPr>
    </w:p>
    <w:p w:rsidR="000826E9" w:rsidRDefault="00172DA5">
      <w:pPr>
        <w:spacing w:before="400" w:after="120"/>
      </w:pPr>
      <w:r>
        <w:rPr>
          <w:b/>
          <w:bCs/>
          <w:color w:val="1B3A6B"/>
          <w:sz w:val="28"/>
          <w:szCs w:val="28"/>
        </w:rPr>
        <w:t>10.  The Conflicts of Interest Register</w:t>
      </w:r>
    </w:p>
    <w:p w:rsidR="000826E9" w:rsidRDefault="000826E9">
      <w:pPr>
        <w:pBdr>
          <w:bottom w:val="single" w:sz="6" w:space="1" w:color="1B3A6B"/>
        </w:pBdr>
        <w:spacing w:before="60" w:after="200"/>
      </w:pPr>
    </w:p>
    <w:p w:rsidR="000826E9" w:rsidRDefault="00172DA5">
      <w:pPr>
        <w:spacing w:before="60" w:after="100"/>
      </w:pPr>
      <w:r>
        <w:rPr>
          <w:color w:val="1A1A2E"/>
        </w:rPr>
        <w:t>A simple internal register is maintained, recording for each identified conflict:</w:t>
      </w:r>
    </w:p>
    <w:p w:rsidR="000826E9" w:rsidRDefault="00172DA5">
      <w:pPr>
        <w:pStyle w:val="ListParagraph"/>
        <w:numPr>
          <w:ilvl w:val="0"/>
          <w:numId w:val="2"/>
        </w:numPr>
        <w:spacing w:before="40" w:after="40"/>
      </w:pPr>
      <w:r>
        <w:t>The date the conflict was identified</w:t>
      </w:r>
    </w:p>
    <w:p w:rsidR="000826E9" w:rsidRDefault="00172DA5">
      <w:pPr>
        <w:pStyle w:val="ListParagraph"/>
        <w:numPr>
          <w:ilvl w:val="0"/>
          <w:numId w:val="2"/>
        </w:numPr>
        <w:spacing w:before="40" w:after="40"/>
      </w:pPr>
      <w:r>
        <w:t>A broad category of conflict (personal relationship, dual-role, financial, gift/hospitality) without unnecessary personal detail</w:t>
      </w:r>
    </w:p>
    <w:p w:rsidR="000826E9" w:rsidRDefault="00172DA5">
      <w:pPr>
        <w:pStyle w:val="ListParagraph"/>
        <w:numPr>
          <w:ilvl w:val="0"/>
          <w:numId w:val="2"/>
        </w:numPr>
        <w:spacing w:before="40" w:after="40"/>
      </w:pPr>
      <w:r>
        <w:t>The action taken (proceeded with note / declined and signposted / MPS consulted)</w:t>
      </w:r>
    </w:p>
    <w:p w:rsidR="000826E9" w:rsidRDefault="000826E9">
      <w:pPr>
        <w:spacing w:before="60"/>
      </w:pPr>
    </w:p>
    <w:p w:rsidR="000826E9" w:rsidRDefault="00172DA5">
      <w:pPr>
        <w:spacing w:before="60" w:after="100"/>
      </w:pPr>
      <w:r>
        <w:rPr>
          <w:color w:val="1A1A2E"/>
        </w:rPr>
        <w:t>This register is reviewed as part of the annu</w:t>
      </w:r>
      <w:r>
        <w:rPr>
          <w:color w:val="1A1A2E"/>
        </w:rPr>
        <w:t>al governance audit described in the Clinical Governance Policy, to identify any patterns that might indicate a need for a more structural change (for example, a particular type of referral source that recurringly raises conflicts).</w:t>
      </w:r>
    </w:p>
    <w:p w:rsidR="000826E9" w:rsidRDefault="000826E9">
      <w:pPr>
        <w:spacing w:before="80"/>
      </w:pPr>
    </w:p>
    <w:p w:rsidR="000826E9" w:rsidRDefault="00172DA5">
      <w:pPr>
        <w:spacing w:before="400" w:after="120"/>
      </w:pPr>
      <w:r>
        <w:rPr>
          <w:b/>
          <w:bCs/>
          <w:color w:val="1B3A6B"/>
          <w:sz w:val="28"/>
          <w:szCs w:val="28"/>
        </w:rPr>
        <w:t>11.  Governance and Re</w:t>
      </w:r>
      <w:r>
        <w:rPr>
          <w:b/>
          <w:bCs/>
          <w:color w:val="1B3A6B"/>
          <w:sz w:val="28"/>
          <w:szCs w:val="28"/>
        </w:rPr>
        <w:t>view</w:t>
      </w:r>
    </w:p>
    <w:p w:rsidR="000826E9" w:rsidRDefault="000826E9">
      <w:pPr>
        <w:pBdr>
          <w:bottom w:val="single" w:sz="6" w:space="1" w:color="1B3A6B"/>
        </w:pBdr>
        <w:spacing w:before="60" w:after="200"/>
      </w:pPr>
    </w:p>
    <w:p w:rsidR="000826E9" w:rsidRDefault="00172DA5">
      <w:pPr>
        <w:pStyle w:val="ListParagraph"/>
        <w:numPr>
          <w:ilvl w:val="0"/>
          <w:numId w:val="2"/>
        </w:numPr>
        <w:spacing w:before="40" w:after="40"/>
      </w:pPr>
      <w:r>
        <w:t>This policy and the Conflicts of Interest Register are reviewed at least annually.</w:t>
      </w:r>
    </w:p>
    <w:p w:rsidR="000826E9" w:rsidRDefault="00172DA5">
      <w:pPr>
        <w:pStyle w:val="ListParagraph"/>
        <w:numPr>
          <w:ilvl w:val="0"/>
          <w:numId w:val="2"/>
        </w:numPr>
        <w:spacing w:before="40" w:after="40"/>
      </w:pPr>
      <w:r>
        <w:t>Annual CPD includes a review of GMC guidance on conflicts of interest and professional boundaries, evidenced in the Clinical Lead's CPD record.</w:t>
      </w:r>
    </w:p>
    <w:p w:rsidR="000826E9" w:rsidRDefault="00172DA5">
      <w:pPr>
        <w:pStyle w:val="ListParagraph"/>
        <w:numPr>
          <w:ilvl w:val="0"/>
          <w:numId w:val="2"/>
        </w:numPr>
        <w:spacing w:before="40" w:after="40"/>
      </w:pPr>
      <w:r>
        <w:t>Any contracted third party engaged by HealthBridge is required to disclose any conflict of interest relevant to their role as a condition of engagement.</w:t>
      </w:r>
    </w:p>
    <w:p w:rsidR="000826E9" w:rsidRDefault="000826E9">
      <w:pPr>
        <w:spacing w:before="80"/>
      </w:pPr>
    </w:p>
    <w:p w:rsidR="000826E9" w:rsidRDefault="00172DA5">
      <w:pPr>
        <w:spacing w:before="400" w:after="120"/>
      </w:pPr>
      <w:r>
        <w:rPr>
          <w:b/>
          <w:bCs/>
          <w:color w:val="1B3A6B"/>
          <w:sz w:val="28"/>
          <w:szCs w:val="28"/>
        </w:rPr>
        <w:t>12.  Policy Review</w:t>
      </w:r>
    </w:p>
    <w:p w:rsidR="000826E9" w:rsidRDefault="000826E9">
      <w:pPr>
        <w:pBdr>
          <w:bottom w:val="single" w:sz="6" w:space="1" w:color="1B3A6B"/>
        </w:pBdr>
        <w:spacing w:before="60" w:after="200"/>
      </w:pPr>
    </w:p>
    <w:p w:rsidR="000826E9" w:rsidRDefault="00172DA5">
      <w:pPr>
        <w:pStyle w:val="ListParagraph"/>
        <w:numPr>
          <w:ilvl w:val="0"/>
          <w:numId w:val="2"/>
        </w:numPr>
        <w:spacing w:before="40" w:after="40"/>
      </w:pPr>
      <w:r>
        <w:t>Formal annual review — next scheduled: 13 June 2027.</w:t>
      </w:r>
    </w:p>
    <w:p w:rsidR="000826E9" w:rsidRDefault="00172DA5">
      <w:pPr>
        <w:pStyle w:val="ListParagraph"/>
        <w:numPr>
          <w:ilvl w:val="0"/>
          <w:numId w:val="2"/>
        </w:numPr>
        <w:spacing w:before="40" w:after="40"/>
      </w:pPr>
      <w:r>
        <w:t>Ad-hoc review following: any material change to Dr. Stanley's other professional roles or financial interests; new GMC guidance on conflicts of interest; any case where a conflict was identified late or managed imperfectly, to capture lessons learned.</w:t>
      </w:r>
    </w:p>
    <w:p w:rsidR="000826E9" w:rsidRDefault="00172DA5">
      <w:pPr>
        <w:pStyle w:val="ListParagraph"/>
        <w:numPr>
          <w:ilvl w:val="0"/>
          <w:numId w:val="2"/>
        </w:numPr>
        <w:spacing w:before="40" w:after="40"/>
      </w:pPr>
      <w:r>
        <w:t>This</w:t>
      </w:r>
      <w:r>
        <w:t xml:space="preserve"> policy is read in conjunction with the Clinical Governance Policy, Referral and Reporting Policy, and Confidentiality Policy.</w:t>
      </w:r>
    </w:p>
    <w:p w:rsidR="000826E9" w:rsidRDefault="000826E9">
      <w:pPr>
        <w:spacing w:before="80"/>
      </w:pPr>
    </w:p>
    <w:p w:rsidR="000826E9" w:rsidRDefault="00172DA5">
      <w:pPr>
        <w:spacing w:before="400" w:after="120"/>
      </w:pPr>
      <w:r>
        <w:rPr>
          <w:b/>
          <w:bCs/>
          <w:color w:val="1B3A6B"/>
          <w:sz w:val="28"/>
          <w:szCs w:val="28"/>
        </w:rPr>
        <w:t>13.  Version Control</w:t>
      </w:r>
    </w:p>
    <w:p w:rsidR="000826E9" w:rsidRDefault="000826E9">
      <w:pPr>
        <w:pBdr>
          <w:bottom w:val="single" w:sz="6" w:space="1" w:color="1B3A6B"/>
        </w:pBdr>
        <w:spacing w:before="60" w:after="200"/>
      </w:pPr>
    </w:p>
    <w:p w:rsidR="000826E9" w:rsidRDefault="000826E9">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0826E9">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826E9" w:rsidRDefault="00172DA5">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826E9" w:rsidRDefault="00172DA5">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826E9" w:rsidRDefault="00172DA5">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826E9" w:rsidRDefault="00172DA5">
            <w:r>
              <w:rPr>
                <w:b/>
                <w:bCs/>
                <w:color w:val="FFFFFF"/>
                <w:sz w:val="19"/>
                <w:szCs w:val="19"/>
              </w:rPr>
              <w:t>Approved By</w:t>
            </w:r>
          </w:p>
        </w:tc>
      </w:tr>
      <w:tr w:rsidR="000826E9">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Initial policy created — new addition to the HealthBridge policy suite, with dedicated treatment of the concurrent NHS out-of-hours and private OH dual role, alongside personal relationship, financial, and gifts/hospitality conflicts.</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Dr. James Stanley</w:t>
            </w:r>
          </w:p>
        </w:tc>
      </w:tr>
      <w:tr w:rsidR="000826E9">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1.1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172DA5">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0826E9"/>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826E9" w:rsidRDefault="000826E9"/>
        </w:tc>
      </w:tr>
    </w:tbl>
    <w:p w:rsidR="000826E9" w:rsidRDefault="000826E9">
      <w:pPr>
        <w:spacing w:before="160"/>
      </w:pPr>
    </w:p>
    <w:p w:rsidR="000826E9" w:rsidRDefault="00172DA5">
      <w:pPr>
        <w:spacing w:before="60" w:after="100"/>
      </w:pPr>
      <w:r>
        <w:rPr>
          <w:b/>
          <w:bCs/>
          <w:color w:val="1A1A2E"/>
        </w:rPr>
        <w:t>Approved by: Dr. James Stanley, Clinical Lead</w:t>
      </w:r>
    </w:p>
    <w:p w:rsidR="000826E9" w:rsidRDefault="00172DA5">
      <w:pPr>
        <w:spacing w:before="60" w:after="100"/>
      </w:pPr>
      <w:r>
        <w:rPr>
          <w:color w:val="1A1A2E"/>
        </w:rPr>
        <w:t>GMC Registration No: 7285162</w:t>
      </w:r>
    </w:p>
    <w:p w:rsidR="000826E9" w:rsidRDefault="00172DA5">
      <w:pPr>
        <w:spacing w:before="60" w:after="100"/>
      </w:pPr>
      <w:r>
        <w:rPr>
          <w:color w:val="1A1A2E"/>
        </w:rPr>
        <w:t>Contact: contact@healthbridge.org.uk</w:t>
      </w:r>
    </w:p>
    <w:p w:rsidR="000826E9" w:rsidRDefault="000826E9">
      <w:pPr>
        <w:spacing w:before="60"/>
      </w:pPr>
    </w:p>
    <w:p w:rsidR="000826E9" w:rsidRDefault="00172DA5">
      <w:pPr>
        <w:spacing w:before="60" w:after="100"/>
      </w:pPr>
      <w:r>
        <w:rPr>
          <w:i/>
          <w:iCs/>
          <w:color w:val="6B7280"/>
        </w:rPr>
        <w:t>HealthBridge Occupational Health Ltd  |  Company No: 16615396</w:t>
      </w:r>
    </w:p>
    <w:p w:rsidR="000826E9" w:rsidRDefault="00172DA5">
      <w:pPr>
        <w:spacing w:before="60" w:after="100"/>
      </w:pPr>
      <w:r>
        <w:rPr>
          <w:i/>
          <w:iCs/>
          <w:color w:val="6B7280"/>
        </w:rPr>
        <w:t>Registered Address: 50 Hadow Way, Gloucester, GL2 4YJ</w:t>
      </w:r>
    </w:p>
    <w:p w:rsidR="000826E9" w:rsidRDefault="00172DA5">
      <w:pPr>
        <w:spacing w:before="60" w:after="100"/>
      </w:pPr>
      <w:r>
        <w:rPr>
          <w:i/>
          <w:iCs/>
          <w:color w:val="6B7280"/>
        </w:rPr>
        <w:t>© HealthBridge Occupational Health Ltd. Unauthorised distribution prohibited.</w:t>
      </w:r>
    </w:p>
    <w:sectPr w:rsidR="000826E9" w:rsidSect="000826E9">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6E9" w:rsidRDefault="000826E9" w:rsidP="000826E9">
      <w:r>
        <w:separator/>
      </w:r>
    </w:p>
  </w:endnote>
  <w:endnote w:type="continuationSeparator" w:id="0">
    <w:p w:rsidR="000826E9" w:rsidRDefault="000826E9" w:rsidP="000826E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6E9" w:rsidRDefault="00172DA5">
    <w:pPr>
      <w:pBdr>
        <w:top w:val="single" w:sz="4" w:space="2" w:color="1B3A6B"/>
      </w:pBdr>
      <w:tabs>
        <w:tab w:val="right" w:pos="9026"/>
      </w:tabs>
      <w:spacing w:before="120"/>
    </w:pPr>
    <w:r>
      <w:rPr>
        <w:color w:val="6B7280"/>
        <w:sz w:val="16"/>
        <w:szCs w:val="16"/>
      </w:rPr>
      <w:t>HealthBridge Occupational Health Ltd  |  Co. No: 16615396  |  50 Hadow Way, Gloucester, GL2 4YJ</w:t>
    </w:r>
    <w:r>
      <w:rPr>
        <w:color w:val="6B7280"/>
        <w:sz w:val="16"/>
        <w:szCs w:val="16"/>
      </w:rPr>
      <w:tab/>
      <w:t xml:space="preserve">Page </w:t>
    </w:r>
    <w:r w:rsidR="000826E9">
      <w:rPr>
        <w:color w:val="6B7280"/>
        <w:sz w:val="16"/>
        <w:szCs w:val="16"/>
      </w:rPr>
      <w:fldChar w:fldCharType="begin"/>
    </w:r>
    <w:r>
      <w:rPr>
        <w:color w:val="6B7280"/>
        <w:sz w:val="16"/>
        <w:szCs w:val="16"/>
      </w:rPr>
      <w:instrText>PAGE</w:instrText>
    </w:r>
    <w:r w:rsidR="000B5248">
      <w:rPr>
        <w:color w:val="6B7280"/>
        <w:sz w:val="16"/>
        <w:szCs w:val="16"/>
      </w:rPr>
      <w:fldChar w:fldCharType="separate"/>
    </w:r>
    <w:r w:rsidR="000B5248">
      <w:rPr>
        <w:noProof/>
        <w:color w:val="6B7280"/>
        <w:sz w:val="16"/>
        <w:szCs w:val="16"/>
      </w:rPr>
      <w:t>2</w:t>
    </w:r>
    <w:r w:rsidR="000826E9">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6E9" w:rsidRDefault="000826E9" w:rsidP="000826E9">
      <w:r>
        <w:separator/>
      </w:r>
    </w:p>
  </w:footnote>
  <w:footnote w:type="continuationSeparator" w:id="0">
    <w:p w:rsidR="000826E9" w:rsidRDefault="000826E9" w:rsidP="000826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6E9" w:rsidRDefault="00172DA5">
    <w:pPr>
      <w:tabs>
        <w:tab w:val="right" w:pos="9026"/>
      </w:tabs>
      <w:spacing w:after="100"/>
    </w:pPr>
    <w:r>
      <w:rPr>
        <w:color w:val="6B7280"/>
        <w:sz w:val="16"/>
        <w:szCs w:val="16"/>
      </w:rPr>
      <w:t>Version 1.0  |  Effective: 13/06/2026  |  Owner: Dr. James Stanley  |  GMC: 7285162</w:t>
    </w:r>
    <w:r>
      <w:rPr>
        <w:color w:val="6B7280"/>
        <w:sz w:val="16"/>
        <w:szCs w:val="16"/>
      </w:rPr>
      <w:tab/>
      <w:t>Next Review: 13/06/2027</w:t>
    </w:r>
  </w:p>
  <w:p w:rsidR="000826E9" w:rsidRDefault="000826E9">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D0C68"/>
    <w:multiLevelType w:val="hybridMultilevel"/>
    <w:tmpl w:val="62E430FE"/>
    <w:lvl w:ilvl="0" w:tplc="E7AAFA16">
      <w:start w:val="1"/>
      <w:numFmt w:val="bullet"/>
      <w:lvlText w:val="•"/>
      <w:lvlJc w:val="left"/>
      <w:pPr>
        <w:ind w:left="540" w:hanging="360"/>
      </w:pPr>
    </w:lvl>
    <w:lvl w:ilvl="1" w:tplc="E716E204">
      <w:numFmt w:val="decimal"/>
      <w:lvlText w:val=""/>
      <w:lvlJc w:val="left"/>
    </w:lvl>
    <w:lvl w:ilvl="2" w:tplc="79DA2C4E">
      <w:numFmt w:val="decimal"/>
      <w:lvlText w:val=""/>
      <w:lvlJc w:val="left"/>
    </w:lvl>
    <w:lvl w:ilvl="3" w:tplc="3298406C">
      <w:numFmt w:val="decimal"/>
      <w:lvlText w:val=""/>
      <w:lvlJc w:val="left"/>
    </w:lvl>
    <w:lvl w:ilvl="4" w:tplc="EF120E96">
      <w:numFmt w:val="decimal"/>
      <w:lvlText w:val=""/>
      <w:lvlJc w:val="left"/>
    </w:lvl>
    <w:lvl w:ilvl="5" w:tplc="D4426426">
      <w:numFmt w:val="decimal"/>
      <w:lvlText w:val=""/>
      <w:lvlJc w:val="left"/>
    </w:lvl>
    <w:lvl w:ilvl="6" w:tplc="9D6268E8">
      <w:numFmt w:val="decimal"/>
      <w:lvlText w:val=""/>
      <w:lvlJc w:val="left"/>
    </w:lvl>
    <w:lvl w:ilvl="7" w:tplc="2B8031F8">
      <w:numFmt w:val="decimal"/>
      <w:lvlText w:val=""/>
      <w:lvlJc w:val="left"/>
    </w:lvl>
    <w:lvl w:ilvl="8" w:tplc="6AC8DC7E">
      <w:numFmt w:val="decimal"/>
      <w:lvlText w:val=""/>
      <w:lvlJc w:val="left"/>
    </w:lvl>
  </w:abstractNum>
  <w:abstractNum w:abstractNumId="1">
    <w:nsid w:val="49337111"/>
    <w:multiLevelType w:val="hybridMultilevel"/>
    <w:tmpl w:val="CA90A2F2"/>
    <w:lvl w:ilvl="0" w:tplc="A27AA8BA">
      <w:start w:val="1"/>
      <w:numFmt w:val="decimal"/>
      <w:lvlText w:val="%1."/>
      <w:lvlJc w:val="left"/>
      <w:pPr>
        <w:ind w:left="540" w:hanging="360"/>
      </w:pPr>
    </w:lvl>
    <w:lvl w:ilvl="1" w:tplc="7E5CF9D4">
      <w:numFmt w:val="decimal"/>
      <w:lvlText w:val=""/>
      <w:lvlJc w:val="left"/>
    </w:lvl>
    <w:lvl w:ilvl="2" w:tplc="015A275A">
      <w:numFmt w:val="decimal"/>
      <w:lvlText w:val=""/>
      <w:lvlJc w:val="left"/>
    </w:lvl>
    <w:lvl w:ilvl="3" w:tplc="271A9A00">
      <w:numFmt w:val="decimal"/>
      <w:lvlText w:val=""/>
      <w:lvlJc w:val="left"/>
    </w:lvl>
    <w:lvl w:ilvl="4" w:tplc="92D6AD4E">
      <w:numFmt w:val="decimal"/>
      <w:lvlText w:val=""/>
      <w:lvlJc w:val="left"/>
    </w:lvl>
    <w:lvl w:ilvl="5" w:tplc="2E4457AE">
      <w:numFmt w:val="decimal"/>
      <w:lvlText w:val=""/>
      <w:lvlJc w:val="left"/>
    </w:lvl>
    <w:lvl w:ilvl="6" w:tplc="497C9236">
      <w:numFmt w:val="decimal"/>
      <w:lvlText w:val=""/>
      <w:lvlJc w:val="left"/>
    </w:lvl>
    <w:lvl w:ilvl="7" w:tplc="B6A427D2">
      <w:numFmt w:val="decimal"/>
      <w:lvlText w:val=""/>
      <w:lvlJc w:val="left"/>
    </w:lvl>
    <w:lvl w:ilvl="8" w:tplc="18D2AA9E">
      <w:numFmt w:val="decimal"/>
      <w:lvlText w:val=""/>
      <w:lvlJc w:val="left"/>
    </w:lvl>
  </w:abstractNum>
  <w:abstractNum w:abstractNumId="2">
    <w:nsid w:val="52D756AA"/>
    <w:multiLevelType w:val="hybridMultilevel"/>
    <w:tmpl w:val="D912436A"/>
    <w:lvl w:ilvl="0" w:tplc="AAD88B5A">
      <w:start w:val="1"/>
      <w:numFmt w:val="bullet"/>
      <w:lvlText w:val="●"/>
      <w:lvlJc w:val="left"/>
      <w:pPr>
        <w:ind w:left="720" w:hanging="360"/>
      </w:pPr>
    </w:lvl>
    <w:lvl w:ilvl="1" w:tplc="9F6A4AA8">
      <w:start w:val="1"/>
      <w:numFmt w:val="bullet"/>
      <w:lvlText w:val="○"/>
      <w:lvlJc w:val="left"/>
      <w:pPr>
        <w:ind w:left="1440" w:hanging="360"/>
      </w:pPr>
    </w:lvl>
    <w:lvl w:ilvl="2" w:tplc="8C0E58D4">
      <w:start w:val="1"/>
      <w:numFmt w:val="bullet"/>
      <w:lvlText w:val="■"/>
      <w:lvlJc w:val="left"/>
      <w:pPr>
        <w:ind w:left="2160" w:hanging="360"/>
      </w:pPr>
    </w:lvl>
    <w:lvl w:ilvl="3" w:tplc="3FE00A1A">
      <w:start w:val="1"/>
      <w:numFmt w:val="bullet"/>
      <w:lvlText w:val="●"/>
      <w:lvlJc w:val="left"/>
      <w:pPr>
        <w:ind w:left="2880" w:hanging="360"/>
      </w:pPr>
    </w:lvl>
    <w:lvl w:ilvl="4" w:tplc="D526AAA8">
      <w:start w:val="1"/>
      <w:numFmt w:val="bullet"/>
      <w:lvlText w:val="○"/>
      <w:lvlJc w:val="left"/>
      <w:pPr>
        <w:ind w:left="3600" w:hanging="360"/>
      </w:pPr>
    </w:lvl>
    <w:lvl w:ilvl="5" w:tplc="597432DC">
      <w:start w:val="1"/>
      <w:numFmt w:val="bullet"/>
      <w:lvlText w:val="■"/>
      <w:lvlJc w:val="left"/>
      <w:pPr>
        <w:ind w:left="4320" w:hanging="360"/>
      </w:pPr>
    </w:lvl>
    <w:lvl w:ilvl="6" w:tplc="6F823388">
      <w:start w:val="1"/>
      <w:numFmt w:val="bullet"/>
      <w:lvlText w:val="●"/>
      <w:lvlJc w:val="left"/>
      <w:pPr>
        <w:ind w:left="5040" w:hanging="360"/>
      </w:pPr>
    </w:lvl>
    <w:lvl w:ilvl="7" w:tplc="2E8C06AC">
      <w:start w:val="1"/>
      <w:numFmt w:val="bullet"/>
      <w:lvlText w:val="●"/>
      <w:lvlJc w:val="left"/>
      <w:pPr>
        <w:ind w:left="5760" w:hanging="360"/>
      </w:pPr>
    </w:lvl>
    <w:lvl w:ilvl="8" w:tplc="387A186C">
      <w:start w:val="1"/>
      <w:numFmt w:val="bullet"/>
      <w:lvlText w:val="●"/>
      <w:lvlJc w:val="left"/>
      <w:pPr>
        <w:ind w:left="648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0826E9"/>
    <w:rsid w:val="000826E9"/>
    <w:rsid w:val="000B5248"/>
    <w:rsid w:val="00172DA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0826E9"/>
    <w:pPr>
      <w:outlineLvl w:val="0"/>
    </w:pPr>
    <w:rPr>
      <w:color w:val="2E74B5"/>
      <w:sz w:val="32"/>
      <w:szCs w:val="32"/>
    </w:rPr>
  </w:style>
  <w:style w:type="paragraph" w:styleId="Heading2">
    <w:name w:val="heading 2"/>
    <w:qFormat/>
    <w:rsid w:val="000826E9"/>
    <w:pPr>
      <w:outlineLvl w:val="1"/>
    </w:pPr>
    <w:rPr>
      <w:color w:val="2E74B5"/>
      <w:sz w:val="26"/>
      <w:szCs w:val="26"/>
    </w:rPr>
  </w:style>
  <w:style w:type="paragraph" w:styleId="Heading3">
    <w:name w:val="heading 3"/>
    <w:qFormat/>
    <w:rsid w:val="000826E9"/>
    <w:pPr>
      <w:outlineLvl w:val="2"/>
    </w:pPr>
    <w:rPr>
      <w:color w:val="1F4D78"/>
      <w:sz w:val="24"/>
      <w:szCs w:val="24"/>
    </w:rPr>
  </w:style>
  <w:style w:type="paragraph" w:styleId="Heading4">
    <w:name w:val="heading 4"/>
    <w:qFormat/>
    <w:rsid w:val="000826E9"/>
    <w:pPr>
      <w:outlineLvl w:val="3"/>
    </w:pPr>
    <w:rPr>
      <w:i/>
      <w:iCs/>
      <w:color w:val="2E74B5"/>
    </w:rPr>
  </w:style>
  <w:style w:type="paragraph" w:styleId="Heading5">
    <w:name w:val="heading 5"/>
    <w:qFormat/>
    <w:rsid w:val="000826E9"/>
    <w:pPr>
      <w:outlineLvl w:val="4"/>
    </w:pPr>
    <w:rPr>
      <w:color w:val="2E74B5"/>
    </w:rPr>
  </w:style>
  <w:style w:type="paragraph" w:styleId="Heading6">
    <w:name w:val="heading 6"/>
    <w:qFormat/>
    <w:rsid w:val="000826E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0826E9"/>
    <w:rPr>
      <w:sz w:val="56"/>
      <w:szCs w:val="56"/>
    </w:rPr>
  </w:style>
  <w:style w:type="paragraph" w:customStyle="1" w:styleId="Strong1">
    <w:name w:val="Strong1"/>
    <w:qFormat/>
    <w:rsid w:val="000826E9"/>
    <w:rPr>
      <w:b/>
      <w:bCs/>
    </w:rPr>
  </w:style>
  <w:style w:type="paragraph" w:styleId="ListParagraph">
    <w:name w:val="List Paragraph"/>
    <w:qFormat/>
    <w:rsid w:val="000826E9"/>
  </w:style>
  <w:style w:type="character" w:styleId="Hyperlink">
    <w:name w:val="Hyperlink"/>
    <w:uiPriority w:val="99"/>
    <w:unhideWhenUsed/>
    <w:rsid w:val="000826E9"/>
    <w:rPr>
      <w:color w:val="0563C1"/>
      <w:u w:val="single"/>
    </w:rPr>
  </w:style>
  <w:style w:type="character" w:styleId="FootnoteReference">
    <w:name w:val="footnote reference"/>
    <w:uiPriority w:val="99"/>
    <w:semiHidden/>
    <w:unhideWhenUsed/>
    <w:rsid w:val="000826E9"/>
    <w:rPr>
      <w:vertAlign w:val="superscript"/>
    </w:rPr>
  </w:style>
  <w:style w:type="paragraph" w:styleId="FootnoteText">
    <w:name w:val="footnote text"/>
    <w:link w:val="FootnoteTextChar"/>
    <w:uiPriority w:val="99"/>
    <w:semiHidden/>
    <w:unhideWhenUsed/>
    <w:rsid w:val="000826E9"/>
  </w:style>
  <w:style w:type="character" w:customStyle="1" w:styleId="FootnoteTextChar">
    <w:name w:val="Footnote Text Char"/>
    <w:link w:val="FootnoteText"/>
    <w:uiPriority w:val="99"/>
    <w:semiHidden/>
    <w:unhideWhenUsed/>
    <w:rsid w:val="000826E9"/>
    <w:rPr>
      <w:sz w:val="20"/>
      <w:szCs w:val="20"/>
    </w:rPr>
  </w:style>
  <w:style w:type="character" w:styleId="EndnoteReference">
    <w:name w:val="endnote reference"/>
    <w:uiPriority w:val="99"/>
    <w:semiHidden/>
    <w:unhideWhenUsed/>
    <w:rsid w:val="000826E9"/>
    <w:rPr>
      <w:vertAlign w:val="superscript"/>
    </w:rPr>
  </w:style>
  <w:style w:type="paragraph" w:styleId="EndnoteText">
    <w:name w:val="endnote text"/>
    <w:link w:val="EndnoteTextChar"/>
    <w:uiPriority w:val="99"/>
    <w:semiHidden/>
    <w:unhideWhenUsed/>
    <w:rsid w:val="000826E9"/>
  </w:style>
  <w:style w:type="character" w:customStyle="1" w:styleId="EndnoteTextChar">
    <w:name w:val="Endnote Text Char"/>
    <w:link w:val="EndnoteText"/>
    <w:uiPriority w:val="99"/>
    <w:semiHidden/>
    <w:unhideWhenUsed/>
    <w:rsid w:val="000826E9"/>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1972</Words>
  <Characters>11243</Characters>
  <Application>Microsoft Office Word</Application>
  <DocSecurity>0</DocSecurity>
  <Lines>93</Lines>
  <Paragraphs>26</Paragraphs>
  <ScaleCrop>false</ScaleCrop>
  <Company>Grizli777</Company>
  <LinksUpToDate>false</LinksUpToDate>
  <CharactersWithSpaces>13189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2026-06-17T11:22:00Z</dcterms:created>
  <dcterms:modified xsi:type="dcterms:W3CDTF">2026-06-17T11:22:00Z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