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A98" w:rsidRDefault="001628A5">
      <w:pPr>
        <w:spacing w:before="200" w:after="60"/>
      </w:pPr>
      <w:r>
        <w:rPr>
          <w:b/>
          <w:bCs/>
          <w:color w:val="1B3A6B"/>
          <w:sz w:val="40"/>
          <w:szCs w:val="40"/>
        </w:rPr>
        <w:t>HEALTHBRIDGE OCCUPATIONAL HEALTH LTD</w:t>
      </w:r>
    </w:p>
    <w:p w:rsidR="00014A98" w:rsidRDefault="001628A5">
      <w:pPr>
        <w:spacing w:after="80"/>
      </w:pPr>
      <w:r>
        <w:rPr>
          <w:b/>
          <w:bCs/>
          <w:color w:val="1B3A6B"/>
          <w:sz w:val="28"/>
          <w:szCs w:val="28"/>
        </w:rPr>
        <w:t>Payment and Cancellation Policy</w:t>
      </w:r>
    </w:p>
    <w:p w:rsidR="00014A98" w:rsidRDefault="001628A5">
      <w:pPr>
        <w:pBdr>
          <w:bottom w:val="thick" w:sz="12" w:space="3" w:color="1B3A6B"/>
        </w:pBdr>
        <w:spacing w:after="240"/>
      </w:pPr>
      <w:r>
        <w:rPr>
          <w:i/>
          <w:iCs/>
          <w:color w:val="6B7280"/>
          <w:sz w:val="19"/>
          <w:szCs w:val="19"/>
        </w:rPr>
        <w:t>GP-Led Occupational Health Services   |   Version 2.0   |   Effective 13 June 2026</w:t>
      </w:r>
    </w:p>
    <w:p w:rsidR="00014A98" w:rsidRDefault="00014A98">
      <w:pPr>
        <w:spacing w:before="80"/>
      </w:pPr>
    </w:p>
    <w:p w:rsidR="00014A98" w:rsidRDefault="001628A5">
      <w:pPr>
        <w:spacing w:before="400" w:after="120"/>
      </w:pPr>
      <w:r>
        <w:rPr>
          <w:b/>
          <w:bCs/>
          <w:color w:val="1B3A6B"/>
          <w:sz w:val="28"/>
          <w:szCs w:val="28"/>
        </w:rPr>
        <w:t>1.  How Payment Works</w:t>
      </w:r>
    </w:p>
    <w:p w:rsidR="00014A98" w:rsidRDefault="00014A98">
      <w:pPr>
        <w:pBdr>
          <w:bottom w:val="single" w:sz="6" w:space="1" w:color="1B3A6B"/>
        </w:pBdr>
        <w:spacing w:before="60" w:after="200"/>
      </w:pPr>
    </w:p>
    <w:p w:rsidR="00014A98" w:rsidRDefault="001628A5">
      <w:pPr>
        <w:spacing w:before="60" w:after="100"/>
      </w:pPr>
      <w:r>
        <w:rPr>
          <w:color w:val="1A1A2E"/>
        </w:rPr>
        <w:t xml:space="preserve">HealthBridge operates two distinct payment models depending on who has commissioned the assessment. All invoicing is handled via </w:t>
      </w:r>
      <w:proofErr w:type="spellStart"/>
      <w:r>
        <w:rPr>
          <w:color w:val="1A1A2E"/>
        </w:rPr>
        <w:t>Zoho</w:t>
      </w:r>
      <w:proofErr w:type="spellEnd"/>
      <w:r>
        <w:rPr>
          <w:color w:val="1A1A2E"/>
        </w:rPr>
        <w:t xml:space="preserve"> Books, with payment by bank transfer to </w:t>
      </w:r>
      <w:proofErr w:type="spellStart"/>
      <w:r>
        <w:rPr>
          <w:color w:val="1A1A2E"/>
        </w:rPr>
        <w:t>HealthBridge's</w:t>
      </w:r>
      <w:proofErr w:type="spellEnd"/>
      <w:r>
        <w:rPr>
          <w:color w:val="1A1A2E"/>
        </w:rPr>
        <w:t xml:space="preserve"> </w:t>
      </w:r>
      <w:proofErr w:type="spellStart"/>
      <w:r>
        <w:rPr>
          <w:color w:val="1A1A2E"/>
        </w:rPr>
        <w:t>Monzo</w:t>
      </w:r>
      <w:proofErr w:type="spellEnd"/>
      <w:r>
        <w:rPr>
          <w:color w:val="1A1A2E"/>
        </w:rPr>
        <w:t xml:space="preserve"> business account. Details are provided on every invoice.</w:t>
      </w:r>
    </w:p>
    <w:p w:rsidR="00014A98" w:rsidRDefault="00014A98">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014A98">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014A98" w:rsidRDefault="001628A5">
            <w:r>
              <w:rPr>
                <w:i/>
                <w:iCs/>
                <w:color w:val="1B3A6B"/>
                <w:sz w:val="19"/>
                <w:szCs w:val="19"/>
              </w:rPr>
              <w:t>The</w:t>
            </w:r>
            <w:r>
              <w:rPr>
                <w:i/>
                <w:iCs/>
                <w:color w:val="1B3A6B"/>
                <w:sz w:val="19"/>
                <w:szCs w:val="19"/>
              </w:rPr>
              <w:t>re are no subscription fees, retainer charges, or minimum volume commitments. Each referral is priced and invoiced individually at the agreed service rate.</w:t>
            </w:r>
          </w:p>
        </w:tc>
      </w:tr>
    </w:tbl>
    <w:p w:rsidR="00014A98" w:rsidRDefault="00014A98">
      <w:pPr>
        <w:spacing w:before="100"/>
      </w:pPr>
    </w:p>
    <w:p w:rsidR="00014A98" w:rsidRDefault="001628A5">
      <w:pPr>
        <w:spacing w:before="280" w:after="100"/>
      </w:pPr>
      <w:proofErr w:type="gramStart"/>
      <w:r>
        <w:rPr>
          <w:b/>
          <w:bCs/>
          <w:color w:val="1B3A6B"/>
          <w:sz w:val="22"/>
          <w:szCs w:val="22"/>
        </w:rPr>
        <w:t>1.1  Employer</w:t>
      </w:r>
      <w:proofErr w:type="gramEnd"/>
      <w:r>
        <w:rPr>
          <w:b/>
          <w:bCs/>
          <w:color w:val="1B3A6B"/>
          <w:sz w:val="22"/>
          <w:szCs w:val="22"/>
        </w:rPr>
        <w:t>-Funded Referrals (Standard Model)</w:t>
      </w:r>
    </w:p>
    <w:p w:rsidR="00014A98" w:rsidRDefault="001628A5">
      <w:pPr>
        <w:spacing w:before="60" w:after="100"/>
      </w:pPr>
      <w:r>
        <w:rPr>
          <w:color w:val="1A1A2E"/>
        </w:rPr>
        <w:t>Where an employer refers an employee for an OH assessment:</w:t>
      </w:r>
    </w:p>
    <w:p w:rsidR="00014A98" w:rsidRDefault="001628A5">
      <w:pPr>
        <w:pStyle w:val="ListParagraph"/>
        <w:numPr>
          <w:ilvl w:val="0"/>
          <w:numId w:val="2"/>
        </w:numPr>
        <w:spacing w:before="40" w:after="40"/>
      </w:pPr>
      <w:r>
        <w:t>An invoice is issued 48 hours before the scheduled appointment. This serves as confirmation of the booking and allows the employer sufficient time to process payment.</w:t>
      </w:r>
    </w:p>
    <w:p w:rsidR="00014A98" w:rsidRDefault="001628A5">
      <w:pPr>
        <w:pStyle w:val="ListParagraph"/>
        <w:numPr>
          <w:ilvl w:val="0"/>
          <w:numId w:val="2"/>
        </w:numPr>
        <w:spacing w:before="40" w:after="40"/>
      </w:pPr>
      <w:r>
        <w:t>Payment is due within 14 calen</w:t>
      </w:r>
      <w:r>
        <w:t>dar days of the invoice date.</w:t>
      </w:r>
    </w:p>
    <w:p w:rsidR="00014A98" w:rsidRDefault="001628A5">
      <w:pPr>
        <w:pStyle w:val="ListParagraph"/>
        <w:numPr>
          <w:ilvl w:val="0"/>
          <w:numId w:val="2"/>
        </w:numPr>
        <w:spacing w:before="40" w:after="40"/>
      </w:pPr>
      <w:r>
        <w:t>The completed OH report is released to the employer once both of the following conditions are met: (a) the employee has consented to release (as required by the Access to Medical Reports Act 1988); and (b) payment has been rec</w:t>
      </w:r>
      <w:r>
        <w:t>eived or a credit arrangement is in place.</w:t>
      </w:r>
    </w:p>
    <w:p w:rsidR="00014A98" w:rsidRDefault="001628A5">
      <w:pPr>
        <w:pStyle w:val="ListParagraph"/>
        <w:numPr>
          <w:ilvl w:val="0"/>
          <w:numId w:val="2"/>
        </w:numPr>
        <w:spacing w:before="40" w:after="40"/>
      </w:pPr>
      <w:r>
        <w:t>For established clients in good standing, reports may be released on completion with payment to follow within the 14-day term at the Clinical Lead's discretion.</w:t>
      </w:r>
    </w:p>
    <w:p w:rsidR="00014A98" w:rsidRDefault="001628A5">
      <w:pPr>
        <w:pStyle w:val="ListParagraph"/>
        <w:numPr>
          <w:ilvl w:val="0"/>
          <w:numId w:val="2"/>
        </w:numPr>
        <w:spacing w:before="40" w:after="40"/>
      </w:pPr>
      <w:r>
        <w:t>New clients or clients with outstanding overdue invo</w:t>
      </w:r>
      <w:r>
        <w:t>ices: report is withheld until payment is received. The employee will be advised that their report has been completed and that release to the employer is pending employer payment, without this affecting any clinical relationship.</w:t>
      </w:r>
    </w:p>
    <w:p w:rsidR="00014A98" w:rsidRDefault="00014A98">
      <w:pPr>
        <w:spacing w:before="80"/>
      </w:pPr>
    </w:p>
    <w:p w:rsidR="00014A98" w:rsidRDefault="001628A5">
      <w:pPr>
        <w:spacing w:before="280" w:after="100"/>
      </w:pPr>
      <w:proofErr w:type="gramStart"/>
      <w:r>
        <w:rPr>
          <w:b/>
          <w:bCs/>
          <w:color w:val="1B3A6B"/>
          <w:sz w:val="22"/>
          <w:szCs w:val="22"/>
        </w:rPr>
        <w:t>1.2  Self</w:t>
      </w:r>
      <w:proofErr w:type="gramEnd"/>
      <w:r>
        <w:rPr>
          <w:b/>
          <w:bCs/>
          <w:color w:val="1B3A6B"/>
          <w:sz w:val="22"/>
          <w:szCs w:val="22"/>
        </w:rPr>
        <w:t>-Funded Employee</w:t>
      </w:r>
      <w:r>
        <w:rPr>
          <w:b/>
          <w:bCs/>
          <w:color w:val="1B3A6B"/>
          <w:sz w:val="22"/>
          <w:szCs w:val="22"/>
        </w:rPr>
        <w:t xml:space="preserve"> Referrals</w:t>
      </w:r>
    </w:p>
    <w:p w:rsidR="00014A98" w:rsidRDefault="001628A5">
      <w:pPr>
        <w:spacing w:before="60" w:after="100"/>
      </w:pPr>
      <w:r>
        <w:rPr>
          <w:color w:val="1A1A2E"/>
        </w:rPr>
        <w:t>Where an employee is funding their own assessment directly:</w:t>
      </w:r>
    </w:p>
    <w:p w:rsidR="00014A98" w:rsidRDefault="001628A5">
      <w:pPr>
        <w:pStyle w:val="ListParagraph"/>
        <w:numPr>
          <w:ilvl w:val="0"/>
          <w:numId w:val="2"/>
        </w:numPr>
        <w:spacing w:before="40" w:after="40"/>
      </w:pPr>
      <w:r>
        <w:t>Full payment is required at the time of booking to confirm and secure the appointment slot.</w:t>
      </w:r>
    </w:p>
    <w:p w:rsidR="00014A98" w:rsidRDefault="001628A5">
      <w:pPr>
        <w:pStyle w:val="ListParagraph"/>
        <w:numPr>
          <w:ilvl w:val="0"/>
          <w:numId w:val="2"/>
        </w:numPr>
        <w:spacing w:before="40" w:after="40"/>
      </w:pPr>
      <w:r>
        <w:t xml:space="preserve">An invoice is issued via </w:t>
      </w:r>
      <w:proofErr w:type="spellStart"/>
      <w:r>
        <w:t>Zoho</w:t>
      </w:r>
      <w:proofErr w:type="spellEnd"/>
      <w:r>
        <w:t xml:space="preserve"> Books at the point of booking. Payment must be received by bank</w:t>
      </w:r>
      <w:r>
        <w:t xml:space="preserve"> transfer within 48 hours of booking, or the appointment is automatically released.</w:t>
      </w:r>
    </w:p>
    <w:p w:rsidR="00014A98" w:rsidRDefault="001628A5">
      <w:pPr>
        <w:pStyle w:val="ListParagraph"/>
        <w:numPr>
          <w:ilvl w:val="0"/>
          <w:numId w:val="2"/>
        </w:numPr>
        <w:spacing w:before="40" w:after="40"/>
      </w:pPr>
      <w:r>
        <w:t>No appointment is confirmed until payment has cleared. A confirmation email is sent once payment is received.</w:t>
      </w:r>
    </w:p>
    <w:p w:rsidR="00014A98" w:rsidRDefault="00014A98">
      <w:pPr>
        <w:spacing w:before="80"/>
      </w:pPr>
    </w:p>
    <w:p w:rsidR="00014A98" w:rsidRDefault="001628A5">
      <w:pPr>
        <w:spacing w:before="280" w:after="100"/>
      </w:pPr>
      <w:proofErr w:type="gramStart"/>
      <w:r>
        <w:rPr>
          <w:b/>
          <w:bCs/>
          <w:color w:val="1B3A6B"/>
          <w:sz w:val="22"/>
          <w:szCs w:val="22"/>
        </w:rPr>
        <w:t>1.3  Service</w:t>
      </w:r>
      <w:proofErr w:type="gramEnd"/>
      <w:r>
        <w:rPr>
          <w:b/>
          <w:bCs/>
          <w:color w:val="1B3A6B"/>
          <w:sz w:val="22"/>
          <w:szCs w:val="22"/>
        </w:rPr>
        <w:t xml:space="preserve"> Fees</w:t>
      </w:r>
    </w:p>
    <w:p w:rsidR="00014A98" w:rsidRDefault="001628A5">
      <w:pPr>
        <w:spacing w:before="60" w:after="100"/>
      </w:pPr>
      <w:r>
        <w:rPr>
          <w:color w:val="1A1A2E"/>
        </w:rPr>
        <w:t>Current assessment fees are as published on</w:t>
      </w:r>
      <w:r>
        <w:rPr>
          <w:color w:val="1A1A2E"/>
        </w:rPr>
        <w:t xml:space="preserve"> the HealthBridge website (www.healthbridge.org.uk) or as agreed in writing at the time of referral. Fees are:</w:t>
      </w:r>
    </w:p>
    <w:p w:rsidR="00014A98" w:rsidRDefault="001628A5">
      <w:pPr>
        <w:pStyle w:val="ListParagraph"/>
        <w:numPr>
          <w:ilvl w:val="0"/>
          <w:numId w:val="2"/>
        </w:numPr>
        <w:spacing w:before="40" w:after="40"/>
      </w:pPr>
      <w:r>
        <w:t>Standard GP-led remote OH assessment: published rate</w:t>
      </w:r>
    </w:p>
    <w:p w:rsidR="00014A98" w:rsidRDefault="001628A5">
      <w:pPr>
        <w:pStyle w:val="ListParagraph"/>
        <w:numPr>
          <w:ilvl w:val="0"/>
          <w:numId w:val="2"/>
        </w:numPr>
        <w:spacing w:before="40" w:after="40"/>
      </w:pPr>
      <w:r>
        <w:t>Complex GP-led remote OH assessment (e.g., active misconduct/disciplinary process, suspensio</w:t>
      </w:r>
      <w:r>
        <w:t>n): published rate</w:t>
      </w:r>
    </w:p>
    <w:p w:rsidR="00014A98" w:rsidRDefault="001628A5">
      <w:pPr>
        <w:pStyle w:val="ListParagraph"/>
        <w:numPr>
          <w:ilvl w:val="0"/>
          <w:numId w:val="2"/>
        </w:numPr>
        <w:spacing w:before="40" w:after="40"/>
      </w:pPr>
      <w:r>
        <w:lastRenderedPageBreak/>
        <w:t>Additional services (e.g., addendum letters, GP correspondence, report amendments): quoted separately</w:t>
      </w:r>
    </w:p>
    <w:p w:rsidR="00014A98" w:rsidRDefault="00014A98">
      <w:pPr>
        <w:spacing w:before="60"/>
      </w:pPr>
    </w:p>
    <w:p w:rsidR="00014A98" w:rsidRDefault="001628A5">
      <w:pPr>
        <w:spacing w:before="60" w:after="100"/>
      </w:pPr>
      <w:r>
        <w:rPr>
          <w:color w:val="1A1A2E"/>
        </w:rPr>
        <w:t>Fees are subject to annual review. Any change in fee applies to new referrals received after the effective date of the change; existing confirmed bookings are invoiced at the rate agreed at the time of booking.</w:t>
      </w:r>
    </w:p>
    <w:p w:rsidR="00014A98" w:rsidRDefault="00014A98">
      <w:pPr>
        <w:spacing w:before="80"/>
      </w:pPr>
    </w:p>
    <w:p w:rsidR="00014A98" w:rsidRDefault="001628A5">
      <w:pPr>
        <w:spacing w:before="280" w:after="100"/>
      </w:pPr>
      <w:proofErr w:type="gramStart"/>
      <w:r>
        <w:rPr>
          <w:b/>
          <w:bCs/>
          <w:color w:val="1B3A6B"/>
          <w:sz w:val="22"/>
          <w:szCs w:val="22"/>
        </w:rPr>
        <w:t>1.4  Late</w:t>
      </w:r>
      <w:proofErr w:type="gramEnd"/>
      <w:r>
        <w:rPr>
          <w:b/>
          <w:bCs/>
          <w:color w:val="1B3A6B"/>
          <w:sz w:val="22"/>
          <w:szCs w:val="22"/>
        </w:rPr>
        <w:t xml:space="preserve"> Payment — Employer Referrals</w:t>
      </w:r>
    </w:p>
    <w:p w:rsidR="00014A98" w:rsidRDefault="001628A5">
      <w:pPr>
        <w:spacing w:before="60" w:after="100"/>
      </w:pPr>
      <w:r>
        <w:rPr>
          <w:color w:val="1A1A2E"/>
        </w:rPr>
        <w:t>Healt</w:t>
      </w:r>
      <w:r>
        <w:rPr>
          <w:color w:val="1A1A2E"/>
        </w:rPr>
        <w:t>hBridge reserves the right to claim statutory interest on overdue invoices under the Late Payment of Commercial Debts (Interest) Act 1998. The statutory rate is 8% per annum over the Bank of England base rate, applied from the due date until the date of pa</w:t>
      </w:r>
      <w:r>
        <w:rPr>
          <w:color w:val="1A1A2E"/>
        </w:rPr>
        <w:t>yment.</w:t>
      </w:r>
    </w:p>
    <w:p w:rsidR="00014A98" w:rsidRDefault="00014A98">
      <w:pPr>
        <w:spacing w:before="60"/>
      </w:pPr>
    </w:p>
    <w:p w:rsidR="00014A98" w:rsidRDefault="001628A5">
      <w:pPr>
        <w:pStyle w:val="ListParagraph"/>
        <w:numPr>
          <w:ilvl w:val="0"/>
          <w:numId w:val="2"/>
        </w:numPr>
        <w:spacing w:before="40" w:after="40"/>
      </w:pPr>
      <w:r>
        <w:t>A payment reminder is sent 3 days before the due date and on the due date.</w:t>
      </w:r>
    </w:p>
    <w:p w:rsidR="00014A98" w:rsidRDefault="001628A5">
      <w:pPr>
        <w:pStyle w:val="ListParagraph"/>
        <w:numPr>
          <w:ilvl w:val="0"/>
          <w:numId w:val="2"/>
        </w:numPr>
        <w:spacing w:before="40" w:after="40"/>
      </w:pPr>
      <w:r>
        <w:t>Where payment remains outstanding 7 days after the due date, a formal notice is issued. Future referrals from that employer may be paused until the outstanding balance is settled.</w:t>
      </w:r>
    </w:p>
    <w:p w:rsidR="00014A98" w:rsidRDefault="001628A5">
      <w:pPr>
        <w:pStyle w:val="ListParagraph"/>
        <w:numPr>
          <w:ilvl w:val="0"/>
          <w:numId w:val="2"/>
        </w:numPr>
        <w:spacing w:before="40" w:after="40"/>
      </w:pPr>
      <w:r>
        <w:t xml:space="preserve">Debt recovery costs incurred in collecting overdue invoices may be added to </w:t>
      </w:r>
      <w:r>
        <w:t>the amount owed, in accordance with the Late Payment of Commercial Debts (Interest) Act 1998.</w:t>
      </w:r>
    </w:p>
    <w:p w:rsidR="00014A98" w:rsidRDefault="00014A98">
      <w:pPr>
        <w:spacing w:before="60"/>
      </w:pPr>
    </w:p>
    <w:p w:rsidR="00014A98" w:rsidRDefault="001628A5">
      <w:pPr>
        <w:spacing w:before="60" w:after="100"/>
      </w:pPr>
      <w:r>
        <w:rPr>
          <w:color w:val="1A1A2E"/>
        </w:rPr>
        <w:t>For self-funded employee referrals, late payment provisions do not apply as payment is taken upfront to confirm the booking.</w:t>
      </w:r>
    </w:p>
    <w:p w:rsidR="00014A98" w:rsidRDefault="00014A98">
      <w:pPr>
        <w:spacing w:before="80"/>
      </w:pPr>
    </w:p>
    <w:p w:rsidR="00014A98" w:rsidRDefault="001628A5">
      <w:pPr>
        <w:spacing w:before="400" w:after="120"/>
      </w:pPr>
      <w:r>
        <w:rPr>
          <w:b/>
          <w:bCs/>
          <w:color w:val="1B3A6B"/>
          <w:sz w:val="28"/>
          <w:szCs w:val="28"/>
        </w:rPr>
        <w:t>2.  Cancellations and No-Shows</w:t>
      </w:r>
    </w:p>
    <w:p w:rsidR="00014A98" w:rsidRDefault="00014A98">
      <w:pPr>
        <w:pBdr>
          <w:bottom w:val="single" w:sz="6" w:space="1" w:color="1B3A6B"/>
        </w:pBdr>
        <w:spacing w:before="60" w:after="200"/>
      </w:pPr>
    </w:p>
    <w:p w:rsidR="00014A98" w:rsidRDefault="001628A5">
      <w:pPr>
        <w:spacing w:before="60" w:after="100"/>
      </w:pPr>
      <w:r>
        <w:rPr>
          <w:color w:val="1A1A2E"/>
        </w:rPr>
        <w:t>The</w:t>
      </w:r>
      <w:r>
        <w:rPr>
          <w:color w:val="1A1A2E"/>
        </w:rPr>
        <w:t xml:space="preserve"> following definitions apply throughout this section:</w:t>
      </w:r>
    </w:p>
    <w:p w:rsidR="00014A98" w:rsidRDefault="001628A5">
      <w:pPr>
        <w:pStyle w:val="ListParagraph"/>
        <w:numPr>
          <w:ilvl w:val="0"/>
          <w:numId w:val="2"/>
        </w:numPr>
        <w:spacing w:before="40" w:after="40"/>
      </w:pPr>
      <w:r>
        <w:t>Cancellation: advance notice given by either party before the scheduled appointment time.</w:t>
      </w:r>
    </w:p>
    <w:p w:rsidR="00014A98" w:rsidRDefault="001628A5">
      <w:pPr>
        <w:pStyle w:val="ListParagraph"/>
        <w:numPr>
          <w:ilvl w:val="0"/>
          <w:numId w:val="2"/>
        </w:numPr>
        <w:spacing w:before="40" w:after="40"/>
      </w:pPr>
      <w:r>
        <w:t>No-show: the employee fails to attend or connect within 10 minutes of the scheduled start time without prior not</w:t>
      </w:r>
      <w:r>
        <w:t>ice to HealthBridge.</w:t>
      </w:r>
    </w:p>
    <w:p w:rsidR="00014A98" w:rsidRDefault="001628A5">
      <w:pPr>
        <w:pStyle w:val="ListParagraph"/>
        <w:numPr>
          <w:ilvl w:val="0"/>
          <w:numId w:val="2"/>
        </w:numPr>
        <w:spacing w:before="40" w:after="40"/>
      </w:pPr>
      <w:r>
        <w:t>Appointment time: all timings are calculated from the scheduled start of the consultation, not the time of booking.</w:t>
      </w:r>
    </w:p>
    <w:p w:rsidR="00014A98" w:rsidRDefault="00014A98">
      <w:pPr>
        <w:spacing w:before="80"/>
      </w:pPr>
    </w:p>
    <w:p w:rsidR="00014A98" w:rsidRDefault="001628A5">
      <w:pPr>
        <w:spacing w:before="280" w:after="100"/>
      </w:pPr>
      <w:proofErr w:type="gramStart"/>
      <w:r>
        <w:rPr>
          <w:b/>
          <w:bCs/>
          <w:color w:val="1B3A6B"/>
          <w:sz w:val="22"/>
          <w:szCs w:val="22"/>
        </w:rPr>
        <w:t>2.1  Cancellation</w:t>
      </w:r>
      <w:proofErr w:type="gramEnd"/>
      <w:r>
        <w:rPr>
          <w:b/>
          <w:bCs/>
          <w:color w:val="1B3A6B"/>
          <w:sz w:val="22"/>
          <w:szCs w:val="22"/>
        </w:rPr>
        <w:t xml:space="preserve"> by HealthBridge</w:t>
      </w:r>
    </w:p>
    <w:p w:rsidR="00014A98" w:rsidRDefault="001628A5">
      <w:pPr>
        <w:spacing w:before="60" w:after="100"/>
      </w:pPr>
      <w:r>
        <w:rPr>
          <w:color w:val="1A1A2E"/>
        </w:rPr>
        <w:t>Where HealthBridge cancels an appointment:</w:t>
      </w:r>
    </w:p>
    <w:p w:rsidR="00014A98" w:rsidRDefault="001628A5">
      <w:pPr>
        <w:pStyle w:val="ListParagraph"/>
        <w:numPr>
          <w:ilvl w:val="0"/>
          <w:numId w:val="2"/>
        </w:numPr>
        <w:spacing w:before="40" w:after="40"/>
      </w:pPr>
      <w:r>
        <w:t>Employer-funded: the invoice is cancelled</w:t>
      </w:r>
      <w:r>
        <w:t xml:space="preserve"> in full. No charge applies.</w:t>
      </w:r>
    </w:p>
    <w:p w:rsidR="00014A98" w:rsidRDefault="001628A5">
      <w:pPr>
        <w:pStyle w:val="ListParagraph"/>
        <w:numPr>
          <w:ilvl w:val="0"/>
          <w:numId w:val="2"/>
        </w:numPr>
        <w:spacing w:before="40" w:after="40"/>
      </w:pPr>
      <w:r>
        <w:t>Self-funded employee: full refund issued within 5 working days.</w:t>
      </w:r>
    </w:p>
    <w:p w:rsidR="00014A98" w:rsidRDefault="001628A5">
      <w:pPr>
        <w:pStyle w:val="ListParagraph"/>
        <w:numPr>
          <w:ilvl w:val="0"/>
          <w:numId w:val="2"/>
        </w:numPr>
        <w:spacing w:before="40" w:after="40"/>
      </w:pPr>
      <w:r>
        <w:t xml:space="preserve">Where a technical failure prevents the consultation from proceeding and cannot be resolved after one rescheduling attempt, the appointment is treated as cancelled </w:t>
      </w:r>
      <w:r>
        <w:t>by HealthBridge and the above applies.</w:t>
      </w:r>
    </w:p>
    <w:p w:rsidR="00014A98" w:rsidRDefault="001628A5">
      <w:pPr>
        <w:pStyle w:val="ListParagraph"/>
        <w:numPr>
          <w:ilvl w:val="0"/>
          <w:numId w:val="2"/>
        </w:numPr>
        <w:spacing w:before="40" w:after="40"/>
      </w:pPr>
      <w:r>
        <w:t xml:space="preserve">HealthBridge will give as much notice as possible of any cancellation and will offer the next </w:t>
      </w:r>
      <w:proofErr w:type="gramStart"/>
      <w:r>
        <w:t>available</w:t>
      </w:r>
      <w:proofErr w:type="gramEnd"/>
      <w:r>
        <w:t xml:space="preserve"> appointment.</w:t>
      </w:r>
    </w:p>
    <w:p w:rsidR="00014A98" w:rsidRDefault="00014A98">
      <w:pPr>
        <w:spacing w:before="80"/>
      </w:pPr>
    </w:p>
    <w:p w:rsidR="00014A98" w:rsidRDefault="001628A5">
      <w:pPr>
        <w:spacing w:before="280" w:after="100"/>
      </w:pPr>
      <w:proofErr w:type="gramStart"/>
      <w:r>
        <w:rPr>
          <w:b/>
          <w:bCs/>
          <w:color w:val="1B3A6B"/>
          <w:sz w:val="22"/>
          <w:szCs w:val="22"/>
        </w:rPr>
        <w:t>2.2  Cancellation</w:t>
      </w:r>
      <w:proofErr w:type="gramEnd"/>
      <w:r>
        <w:rPr>
          <w:b/>
          <w:bCs/>
          <w:color w:val="1B3A6B"/>
          <w:sz w:val="22"/>
          <w:szCs w:val="22"/>
        </w:rPr>
        <w:t xml:space="preserve"> by the Employer or Employee — Employer-Funded Referrals</w:t>
      </w:r>
    </w:p>
    <w:p w:rsidR="00014A98" w:rsidRDefault="00014A98">
      <w:pPr>
        <w:spacing w:before="4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200"/>
        <w:gridCol w:w="2913"/>
        <w:gridCol w:w="2913"/>
      </w:tblGrid>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Timing of Cancellation</w:t>
            </w:r>
          </w:p>
        </w:tc>
        <w:tc>
          <w:tcPr>
            <w:tcW w:w="29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Fee Charged to Employer</w:t>
            </w:r>
          </w:p>
        </w:tc>
        <w:tc>
          <w:tcPr>
            <w:tcW w:w="29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Notes</w:t>
            </w:r>
          </w:p>
        </w:tc>
      </w:tr>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More than 48 hours before appointment</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No charge — invoice cancelled</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Rebooking offered at standard rate.</w:t>
            </w:r>
          </w:p>
        </w:tc>
      </w:tr>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 xml:space="preserve">24 to 48 hours before </w:t>
            </w:r>
            <w:r>
              <w:rPr>
                <w:sz w:val="19"/>
                <w:szCs w:val="19"/>
              </w:rPr>
              <w:lastRenderedPageBreak/>
              <w:t>appointment</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lastRenderedPageBreak/>
              <w:t>25% of assessment fee</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 xml:space="preserve">Covers administrative and </w:t>
            </w:r>
            <w:r>
              <w:rPr>
                <w:sz w:val="19"/>
                <w:szCs w:val="19"/>
              </w:rPr>
              <w:lastRenderedPageBreak/>
              <w:t>scheduling time already committed.</w:t>
            </w:r>
          </w:p>
        </w:tc>
      </w:tr>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lastRenderedPageBreak/>
              <w:t>Less than 24 hours before appointment</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50% of assessment fee</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Slot is unlikely to be filled at short notice.</w:t>
            </w:r>
          </w:p>
        </w:tc>
      </w:tr>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After clinical preparation has begun (referral reviewed, notes read)</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50% of assessment fee — regardless of timing</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Clinical preparation time is non-r</w:t>
            </w:r>
            <w:r>
              <w:rPr>
                <w:sz w:val="19"/>
                <w:szCs w:val="19"/>
              </w:rPr>
              <w:t>ecoverable once committed.</w:t>
            </w:r>
          </w:p>
        </w:tc>
      </w:tr>
    </w:tbl>
    <w:p w:rsidR="00014A98" w:rsidRDefault="00014A98">
      <w:pPr>
        <w:spacing w:before="80"/>
      </w:pPr>
    </w:p>
    <w:p w:rsidR="00014A98" w:rsidRDefault="001628A5">
      <w:pPr>
        <w:spacing w:before="280" w:after="100"/>
      </w:pPr>
      <w:proofErr w:type="gramStart"/>
      <w:r>
        <w:rPr>
          <w:b/>
          <w:bCs/>
          <w:color w:val="1B3A6B"/>
          <w:sz w:val="22"/>
          <w:szCs w:val="22"/>
        </w:rPr>
        <w:t>2.3  Employee</w:t>
      </w:r>
      <w:proofErr w:type="gramEnd"/>
      <w:r>
        <w:rPr>
          <w:b/>
          <w:bCs/>
          <w:color w:val="1B3A6B"/>
          <w:sz w:val="22"/>
          <w:szCs w:val="22"/>
        </w:rPr>
        <w:t xml:space="preserve"> No-Show — Employer-Funded Referrals</w:t>
      </w:r>
    </w:p>
    <w:p w:rsidR="00014A98" w:rsidRDefault="001628A5">
      <w:pPr>
        <w:spacing w:before="60" w:after="100"/>
      </w:pPr>
      <w:r>
        <w:rPr>
          <w:color w:val="1A1A2E"/>
        </w:rPr>
        <w:t>Where the employee fails to attend a booked appointment without prior notice:</w:t>
      </w:r>
    </w:p>
    <w:p w:rsidR="00014A98" w:rsidRDefault="00014A98">
      <w:pPr>
        <w:spacing w:before="4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200"/>
        <w:gridCol w:w="2913"/>
        <w:gridCol w:w="2913"/>
      </w:tblGrid>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Occasion</w:t>
            </w:r>
          </w:p>
        </w:tc>
        <w:tc>
          <w:tcPr>
            <w:tcW w:w="29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Fee Charged to Employer</w:t>
            </w:r>
          </w:p>
        </w:tc>
        <w:tc>
          <w:tcPr>
            <w:tcW w:w="29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Action</w:t>
            </w:r>
          </w:p>
        </w:tc>
      </w:tr>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First no-show by the same employee</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No charge</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One rebook offered at no additional cost. Employer is notified. HealthBridge will attempt to make contact with the employee via the employer to confirm intent to attend before rebooking.</w:t>
            </w:r>
          </w:p>
        </w:tc>
      </w:tr>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Second no-show by the same employee</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50% of the assessment fee</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No further rebooking will be offered until the employer contacts HealthBridge in writing to confirm the employee's commitment to attend and the circumstances have been discussed. The 50% fee applies to the second missed appointment.</w:t>
            </w:r>
          </w:p>
        </w:tc>
      </w:tr>
    </w:tbl>
    <w:p w:rsidR="00014A98" w:rsidRDefault="00014A98">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014A98">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014A98" w:rsidRDefault="001628A5">
            <w:r>
              <w:rPr>
                <w:i/>
                <w:iCs/>
                <w:color w:val="1B3A6B"/>
                <w:sz w:val="19"/>
                <w:szCs w:val="19"/>
              </w:rPr>
              <w:t>The employer is respo</w:t>
            </w:r>
            <w:r>
              <w:rPr>
                <w:i/>
                <w:iCs/>
                <w:color w:val="1B3A6B"/>
                <w:sz w:val="19"/>
                <w:szCs w:val="19"/>
              </w:rPr>
              <w:t>nsible for ensuring the referred employee attends their scheduled appointment. Where repeat no-shows indicate the referral is unlikely to proceed, HealthBridge reserves the right to close the referral and advise the employer accordingly. Any outstanding fe</w:t>
            </w:r>
            <w:r>
              <w:rPr>
                <w:i/>
                <w:iCs/>
                <w:color w:val="1B3A6B"/>
                <w:sz w:val="19"/>
                <w:szCs w:val="19"/>
              </w:rPr>
              <w:t>es remain due.</w:t>
            </w:r>
          </w:p>
        </w:tc>
      </w:tr>
    </w:tbl>
    <w:p w:rsidR="00014A98" w:rsidRDefault="00014A98">
      <w:pPr>
        <w:spacing w:before="80"/>
      </w:pPr>
    </w:p>
    <w:p w:rsidR="00014A98" w:rsidRDefault="001628A5">
      <w:pPr>
        <w:spacing w:before="280" w:after="100"/>
      </w:pPr>
      <w:proofErr w:type="gramStart"/>
      <w:r>
        <w:rPr>
          <w:b/>
          <w:bCs/>
          <w:color w:val="1B3A6B"/>
          <w:sz w:val="22"/>
          <w:szCs w:val="22"/>
        </w:rPr>
        <w:t>2.4  Cancellation</w:t>
      </w:r>
      <w:proofErr w:type="gramEnd"/>
      <w:r>
        <w:rPr>
          <w:b/>
          <w:bCs/>
          <w:color w:val="1B3A6B"/>
          <w:sz w:val="22"/>
          <w:szCs w:val="22"/>
        </w:rPr>
        <w:t xml:space="preserve"> by Self-Funded Employees</w:t>
      </w:r>
    </w:p>
    <w:p w:rsidR="00014A98" w:rsidRDefault="00014A98">
      <w:pPr>
        <w:spacing w:before="4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200"/>
        <w:gridCol w:w="2913"/>
        <w:gridCol w:w="2913"/>
      </w:tblGrid>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Timing of Cancellation</w:t>
            </w:r>
          </w:p>
        </w:tc>
        <w:tc>
          <w:tcPr>
            <w:tcW w:w="29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Refund</w:t>
            </w:r>
          </w:p>
        </w:tc>
        <w:tc>
          <w:tcPr>
            <w:tcW w:w="29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Notes</w:t>
            </w:r>
          </w:p>
        </w:tc>
      </w:tr>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More than 48 hours before appointment</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90% refund (10% admin fee retained)</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Refund issued within 5 working days.</w:t>
            </w:r>
          </w:p>
        </w:tc>
      </w:tr>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24 to 48 hours before appointment</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50% refund</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Refund issued within 5 working days.</w:t>
            </w:r>
          </w:p>
        </w:tc>
      </w:tr>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Less than 24 hours before appointment</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No refund</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The appointment slot cannot be filled at short notice.</w:t>
            </w:r>
          </w:p>
        </w:tc>
      </w:tr>
      <w:tr w:rsidR="00014A98">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After consultation has commenced</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No refund</w:t>
            </w:r>
          </w:p>
        </w:tc>
        <w:tc>
          <w:tcPr>
            <w:tcW w:w="29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Payment is non-refundable once the assessment has begun.</w:t>
            </w:r>
          </w:p>
        </w:tc>
      </w:tr>
    </w:tbl>
    <w:p w:rsidR="00014A98" w:rsidRDefault="00014A98">
      <w:pPr>
        <w:spacing w:before="80"/>
      </w:pPr>
    </w:p>
    <w:p w:rsidR="00014A98" w:rsidRDefault="001628A5">
      <w:pPr>
        <w:spacing w:before="280" w:after="100"/>
      </w:pPr>
      <w:proofErr w:type="gramStart"/>
      <w:r>
        <w:rPr>
          <w:b/>
          <w:bCs/>
          <w:color w:val="1B3A6B"/>
          <w:sz w:val="22"/>
          <w:szCs w:val="22"/>
        </w:rPr>
        <w:lastRenderedPageBreak/>
        <w:t>2.5  No</w:t>
      </w:r>
      <w:proofErr w:type="gramEnd"/>
      <w:r>
        <w:rPr>
          <w:b/>
          <w:bCs/>
          <w:color w:val="1B3A6B"/>
          <w:sz w:val="22"/>
          <w:szCs w:val="22"/>
        </w:rPr>
        <w:t>-Show — Self-Funded Employee</w:t>
      </w:r>
    </w:p>
    <w:p w:rsidR="00014A98" w:rsidRDefault="001628A5">
      <w:pPr>
        <w:spacing w:before="60" w:after="100"/>
      </w:pPr>
      <w:r>
        <w:rPr>
          <w:color w:val="1A1A2E"/>
        </w:rPr>
        <w:t>Where a self-funded employee fails to attend their booked appointment without prior notice:</w:t>
      </w:r>
    </w:p>
    <w:p w:rsidR="00014A98" w:rsidRDefault="001628A5">
      <w:pPr>
        <w:pStyle w:val="ListParagraph"/>
        <w:numPr>
          <w:ilvl w:val="0"/>
          <w:numId w:val="2"/>
        </w:numPr>
        <w:spacing w:before="40" w:after="40"/>
      </w:pPr>
      <w:r>
        <w:t>The full fee is forfeited. No refund is issued.</w:t>
      </w:r>
    </w:p>
    <w:p w:rsidR="00014A98" w:rsidRDefault="001628A5">
      <w:pPr>
        <w:pStyle w:val="ListParagraph"/>
        <w:numPr>
          <w:ilvl w:val="0"/>
          <w:numId w:val="2"/>
        </w:numPr>
        <w:spacing w:before="40" w:after="40"/>
      </w:pPr>
      <w:r>
        <w:t>A single rebooking is offered at 50% of the standard assessment fee, to be taken</w:t>
      </w:r>
      <w:r>
        <w:t xml:space="preserve"> within 30 calendar days of the original appointment date.</w:t>
      </w:r>
    </w:p>
    <w:p w:rsidR="00014A98" w:rsidRDefault="001628A5">
      <w:pPr>
        <w:pStyle w:val="ListParagraph"/>
        <w:numPr>
          <w:ilvl w:val="0"/>
          <w:numId w:val="2"/>
        </w:numPr>
        <w:spacing w:before="40" w:after="40"/>
      </w:pPr>
      <w:r>
        <w:t>If the rebooking is also not attended without prior notice, no further discounted rebooking is available. A fresh booking at the full rate may be made.</w:t>
      </w:r>
    </w:p>
    <w:p w:rsidR="00014A98" w:rsidRDefault="00014A98">
      <w:pPr>
        <w:spacing w:before="80"/>
      </w:pPr>
    </w:p>
    <w:p w:rsidR="00014A98" w:rsidRDefault="001628A5">
      <w:pPr>
        <w:spacing w:before="280" w:after="100"/>
      </w:pPr>
      <w:proofErr w:type="gramStart"/>
      <w:r>
        <w:rPr>
          <w:b/>
          <w:bCs/>
          <w:color w:val="1B3A6B"/>
          <w:sz w:val="22"/>
          <w:szCs w:val="22"/>
        </w:rPr>
        <w:t>2.6  Accessibility</w:t>
      </w:r>
      <w:proofErr w:type="gramEnd"/>
      <w:r>
        <w:rPr>
          <w:b/>
          <w:bCs/>
          <w:color w:val="1B3A6B"/>
          <w:sz w:val="22"/>
          <w:szCs w:val="22"/>
        </w:rPr>
        <w:t xml:space="preserve"> Service Cancellations (In</w:t>
      </w:r>
      <w:r>
        <w:rPr>
          <w:b/>
          <w:bCs/>
          <w:color w:val="1B3A6B"/>
          <w:sz w:val="22"/>
          <w:szCs w:val="22"/>
        </w:rPr>
        <w:t>terpreter / BSL)</w:t>
      </w:r>
    </w:p>
    <w:p w:rsidR="00014A98" w:rsidRDefault="001628A5">
      <w:pPr>
        <w:spacing w:before="60" w:after="100"/>
      </w:pPr>
      <w:r>
        <w:rPr>
          <w:color w:val="1A1A2E"/>
        </w:rPr>
        <w:t>Where an interpreter or BSL service has been booked and is cancelled less than 24 hours before the appointment:</w:t>
      </w:r>
    </w:p>
    <w:p w:rsidR="00014A98" w:rsidRDefault="001628A5">
      <w:pPr>
        <w:pStyle w:val="ListParagraph"/>
        <w:numPr>
          <w:ilvl w:val="0"/>
          <w:numId w:val="2"/>
        </w:numPr>
        <w:spacing w:before="40" w:after="40"/>
      </w:pPr>
      <w:r>
        <w:t>The full cost of the interpreter or BSL service is charged to the booking party (employer or self-funded employee) at cost — He</w:t>
      </w:r>
      <w:r>
        <w:t>althBridge incurs this expense from the provider regardless of cancellation.</w:t>
      </w:r>
    </w:p>
    <w:p w:rsidR="00014A98" w:rsidRDefault="001628A5">
      <w:pPr>
        <w:pStyle w:val="ListParagraph"/>
        <w:numPr>
          <w:ilvl w:val="0"/>
          <w:numId w:val="2"/>
        </w:numPr>
        <w:spacing w:before="40" w:after="40"/>
      </w:pPr>
      <w:r>
        <w:t>The cost will be itemised separately on the invoice with provider details.</w:t>
      </w:r>
    </w:p>
    <w:p w:rsidR="00014A98" w:rsidRDefault="001628A5">
      <w:pPr>
        <w:pStyle w:val="ListParagraph"/>
        <w:numPr>
          <w:ilvl w:val="0"/>
          <w:numId w:val="2"/>
        </w:numPr>
        <w:spacing w:before="40" w:after="40"/>
      </w:pPr>
      <w:r>
        <w:t>Cancellations with more than 24 hours' notice: HealthBridge will attempt to cancel the interpreter booki</w:t>
      </w:r>
      <w:r>
        <w:t>ng without charge. Where a cancellation fee is incurred by the provider, this is passed through at cost.</w:t>
      </w:r>
    </w:p>
    <w:p w:rsidR="00014A98" w:rsidRDefault="00014A98">
      <w:pPr>
        <w:spacing w:before="80"/>
      </w:pPr>
    </w:p>
    <w:p w:rsidR="00014A98" w:rsidRDefault="001628A5">
      <w:pPr>
        <w:spacing w:before="400" w:after="120"/>
      </w:pPr>
      <w:r>
        <w:rPr>
          <w:b/>
          <w:bCs/>
          <w:color w:val="1B3A6B"/>
          <w:sz w:val="28"/>
          <w:szCs w:val="28"/>
        </w:rPr>
        <w:t>3.  Additional Services and Report Revisions</w:t>
      </w:r>
    </w:p>
    <w:p w:rsidR="00014A98" w:rsidRDefault="00014A98">
      <w:pPr>
        <w:pBdr>
          <w:bottom w:val="single" w:sz="6" w:space="1" w:color="1B3A6B"/>
        </w:pBdr>
        <w:spacing w:before="60" w:after="200"/>
      </w:pPr>
    </w:p>
    <w:p w:rsidR="00014A98" w:rsidRDefault="00014A9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2000"/>
        <w:gridCol w:w="4026"/>
      </w:tblGrid>
      <w:tr w:rsidR="00014A9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Service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Fee</w:t>
            </w:r>
          </w:p>
        </w:tc>
        <w:tc>
          <w:tcPr>
            <w:tcW w:w="4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Notes</w:t>
            </w:r>
          </w:p>
        </w:tc>
      </w:tr>
      <w:tr w:rsidR="00014A9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b/>
                <w:bCs/>
                <w:sz w:val="19"/>
                <w:szCs w:val="19"/>
              </w:rPr>
              <w:t>Minor report revisions</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No charge</w:t>
            </w:r>
          </w:p>
        </w:tc>
        <w:tc>
          <w:tcPr>
            <w:tcW w:w="4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Typographical corrections, factual clarifications, and formatting adjustments requiring less than 15 minutes of clinician time. Requested within 7 days of report issue.</w:t>
            </w:r>
          </w:p>
        </w:tc>
      </w:tr>
      <w:tr w:rsidR="00014A9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b/>
                <w:bCs/>
                <w:sz w:val="19"/>
                <w:szCs w:val="19"/>
              </w:rPr>
              <w:t>Substantial report revisions</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£125 per hour (minimum 1 hour)</w:t>
            </w:r>
          </w:p>
        </w:tc>
        <w:tc>
          <w:tcPr>
            <w:tcW w:w="4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Structural changes, incorporation of new medical evidence, or requests that require clinical re-analysis. Fee quoted and agreed in writing before work commences. Invoiced on completion.</w:t>
            </w:r>
          </w:p>
        </w:tc>
      </w:tr>
      <w:tr w:rsidR="00014A9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b/>
                <w:bCs/>
                <w:sz w:val="19"/>
                <w:szCs w:val="19"/>
              </w:rPr>
              <w:t>Reassessment / follow-up consultation</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Standard assessment rate</w:t>
            </w:r>
          </w:p>
        </w:tc>
        <w:tc>
          <w:tcPr>
            <w:tcW w:w="4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 xml:space="preserve">Where </w:t>
            </w:r>
            <w:r>
              <w:rPr>
                <w:sz w:val="19"/>
                <w:szCs w:val="19"/>
              </w:rPr>
              <w:t>a new clinical assessment is required (e.g., following significant change in circumstances). Treated as a new referral and invoiced accordingly.</w:t>
            </w:r>
          </w:p>
        </w:tc>
      </w:tr>
      <w:tr w:rsidR="00014A9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b/>
                <w:bCs/>
                <w:sz w:val="19"/>
                <w:szCs w:val="19"/>
              </w:rPr>
              <w:t>Employer advisory letter or addendum</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Quoted on request</w:t>
            </w:r>
          </w:p>
        </w:tc>
        <w:tc>
          <w:tcPr>
            <w:tcW w:w="4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 xml:space="preserve">Brief written advice or supplementary communication to </w:t>
            </w:r>
            <w:r>
              <w:rPr>
                <w:sz w:val="19"/>
                <w:szCs w:val="19"/>
              </w:rPr>
              <w:t>the employer following an assessment. Pricing depends on complexity.</w:t>
            </w:r>
          </w:p>
        </w:tc>
      </w:tr>
      <w:tr w:rsidR="00014A98">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b/>
                <w:bCs/>
                <w:sz w:val="19"/>
                <w:szCs w:val="19"/>
              </w:rPr>
              <w:t>Short-notice interpreter / BSL (less than 48 hours)</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Cost plus 10% handling</w:t>
            </w:r>
          </w:p>
        </w:tc>
        <w:tc>
          <w:tcPr>
            <w:tcW w:w="4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Pass-through of provider cost plus a 10% handling charge to cover coordination. Itemised on invoice. Pre-booked (48h+ notice) interpretation is included in the standard service fee.</w:t>
            </w:r>
          </w:p>
        </w:tc>
      </w:tr>
    </w:tbl>
    <w:p w:rsidR="00014A98" w:rsidRDefault="00014A98">
      <w:pPr>
        <w:spacing w:before="80"/>
      </w:pPr>
    </w:p>
    <w:p w:rsidR="00014A98" w:rsidRDefault="001628A5">
      <w:pPr>
        <w:spacing w:before="400" w:after="120"/>
      </w:pPr>
      <w:r>
        <w:rPr>
          <w:b/>
          <w:bCs/>
          <w:color w:val="1B3A6B"/>
          <w:sz w:val="28"/>
          <w:szCs w:val="28"/>
        </w:rPr>
        <w:t>4.  Payment Disputes</w:t>
      </w:r>
    </w:p>
    <w:p w:rsidR="00014A98" w:rsidRDefault="00014A98">
      <w:pPr>
        <w:pBdr>
          <w:bottom w:val="single" w:sz="6" w:space="1" w:color="1B3A6B"/>
        </w:pBdr>
        <w:spacing w:before="60" w:after="200"/>
      </w:pPr>
    </w:p>
    <w:p w:rsidR="00014A98" w:rsidRDefault="001628A5">
      <w:pPr>
        <w:spacing w:before="60" w:after="100"/>
      </w:pPr>
      <w:r>
        <w:rPr>
          <w:color w:val="1A1A2E"/>
        </w:rPr>
        <w:t>Where a client disputes an invoice or cancellation</w:t>
      </w:r>
      <w:r>
        <w:rPr>
          <w:color w:val="1A1A2E"/>
        </w:rPr>
        <w:t xml:space="preserve"> charge:</w:t>
      </w:r>
    </w:p>
    <w:p w:rsidR="00014A98" w:rsidRDefault="001628A5">
      <w:pPr>
        <w:pStyle w:val="ListParagraph"/>
        <w:numPr>
          <w:ilvl w:val="0"/>
          <w:numId w:val="2"/>
        </w:numPr>
        <w:spacing w:before="40" w:after="40"/>
      </w:pPr>
      <w:r>
        <w:t>Contact HealthBridge in writing at contact@healthbridge.org.uk within 28 calendar days of the invoice date, setting out the nature of the dispute clearly.</w:t>
      </w:r>
    </w:p>
    <w:p w:rsidR="00014A98" w:rsidRDefault="001628A5">
      <w:pPr>
        <w:pStyle w:val="ListParagraph"/>
        <w:numPr>
          <w:ilvl w:val="0"/>
          <w:numId w:val="2"/>
        </w:numPr>
        <w:spacing w:before="40" w:after="40"/>
      </w:pPr>
      <w:r>
        <w:t>The Clinical Lead will review the matter and respond within 14 working days.</w:t>
      </w:r>
    </w:p>
    <w:p w:rsidR="00014A98" w:rsidRDefault="001628A5">
      <w:pPr>
        <w:pStyle w:val="ListParagraph"/>
        <w:numPr>
          <w:ilvl w:val="0"/>
          <w:numId w:val="2"/>
        </w:numPr>
        <w:spacing w:before="40" w:after="40"/>
      </w:pPr>
      <w:r>
        <w:t>Where a dispute relates to the clinical content of an OH report, the Complaints Policy process applies separately to any fee dispute.</w:t>
      </w:r>
    </w:p>
    <w:p w:rsidR="00014A98" w:rsidRDefault="00014A98">
      <w:pPr>
        <w:spacing w:before="60"/>
      </w:pPr>
    </w:p>
    <w:p w:rsidR="00014A98" w:rsidRDefault="001628A5">
      <w:pPr>
        <w:spacing w:before="60" w:after="100"/>
      </w:pPr>
      <w:r>
        <w:rPr>
          <w:color w:val="1A1A2E"/>
        </w:rPr>
        <w:t>Where a payment dispute cannot be resolved by agreement:</w:t>
      </w:r>
    </w:p>
    <w:p w:rsidR="00014A98" w:rsidRDefault="001628A5">
      <w:pPr>
        <w:pStyle w:val="ListParagraph"/>
        <w:numPr>
          <w:ilvl w:val="0"/>
          <w:numId w:val="2"/>
        </w:numPr>
        <w:spacing w:before="40" w:after="40"/>
      </w:pPr>
      <w:r>
        <w:t xml:space="preserve">Business clients (employer-funded referrals): the matter may be </w:t>
      </w:r>
      <w:r>
        <w:t>referred to the County Court. For debts under £10,000, the Small Claims Track is available without legal representation.</w:t>
      </w:r>
    </w:p>
    <w:p w:rsidR="00014A98" w:rsidRDefault="001628A5">
      <w:pPr>
        <w:pStyle w:val="ListParagraph"/>
        <w:numPr>
          <w:ilvl w:val="0"/>
          <w:numId w:val="2"/>
        </w:numPr>
        <w:spacing w:before="40" w:after="40"/>
      </w:pPr>
      <w:r>
        <w:t xml:space="preserve">Consumer clients (self-funded employees): the matter may be referred to the County Court Small Claims Track. Consumer rights under the </w:t>
      </w:r>
      <w:r>
        <w:t>Consumer Rights Act 2015 are not affected by this policy.</w:t>
      </w:r>
    </w:p>
    <w:p w:rsidR="00014A98" w:rsidRDefault="00014A98">
      <w:pPr>
        <w:spacing w:before="60"/>
      </w:pPr>
    </w:p>
    <w:p w:rsidR="00014A98" w:rsidRDefault="001628A5">
      <w:pPr>
        <w:spacing w:before="60" w:after="100"/>
      </w:pPr>
      <w:r>
        <w:rPr>
          <w:color w:val="1A1A2E"/>
        </w:rPr>
        <w:t>HealthBridge does not use debt collection agencies as a first resort and will always attempt resolution by direct communication before any formal legal step.</w:t>
      </w:r>
    </w:p>
    <w:p w:rsidR="00014A98" w:rsidRDefault="00014A98">
      <w:pPr>
        <w:spacing w:before="80"/>
      </w:pPr>
    </w:p>
    <w:p w:rsidR="00014A98" w:rsidRDefault="001628A5">
      <w:pPr>
        <w:spacing w:before="400" w:after="120"/>
      </w:pPr>
      <w:r>
        <w:rPr>
          <w:b/>
          <w:bCs/>
          <w:color w:val="1B3A6B"/>
          <w:sz w:val="28"/>
          <w:szCs w:val="28"/>
        </w:rPr>
        <w:t>5.  Policy Review</w:t>
      </w:r>
    </w:p>
    <w:p w:rsidR="00014A98" w:rsidRDefault="00014A98">
      <w:pPr>
        <w:pBdr>
          <w:bottom w:val="single" w:sz="6" w:space="1" w:color="1B3A6B"/>
        </w:pBdr>
        <w:spacing w:before="60" w:after="200"/>
      </w:pPr>
    </w:p>
    <w:p w:rsidR="00014A98" w:rsidRDefault="001628A5">
      <w:pPr>
        <w:pStyle w:val="ListParagraph"/>
        <w:numPr>
          <w:ilvl w:val="0"/>
          <w:numId w:val="2"/>
        </w:numPr>
        <w:spacing w:before="40" w:after="40"/>
      </w:pPr>
      <w:r>
        <w:t>Formal annual revie</w:t>
      </w:r>
      <w:r>
        <w:t>w — next scheduled: 13 June 2027.</w:t>
      </w:r>
    </w:p>
    <w:p w:rsidR="00014A98" w:rsidRDefault="001628A5">
      <w:pPr>
        <w:pStyle w:val="ListParagraph"/>
        <w:numPr>
          <w:ilvl w:val="0"/>
          <w:numId w:val="2"/>
        </w:numPr>
        <w:spacing w:before="40" w:after="40"/>
      </w:pPr>
      <w:r>
        <w:t>Ad-hoc review following: changes to standard service fees; changes to payment processing arrangements; any recurring payment dispute pattern.</w:t>
      </w:r>
    </w:p>
    <w:p w:rsidR="00014A98" w:rsidRDefault="00014A98">
      <w:pPr>
        <w:spacing w:before="80"/>
      </w:pPr>
    </w:p>
    <w:p w:rsidR="00014A98" w:rsidRDefault="001628A5">
      <w:pPr>
        <w:spacing w:before="400" w:after="120"/>
      </w:pPr>
      <w:r>
        <w:rPr>
          <w:b/>
          <w:bCs/>
          <w:color w:val="1B3A6B"/>
          <w:sz w:val="28"/>
          <w:szCs w:val="28"/>
        </w:rPr>
        <w:t>6.  Version Control</w:t>
      </w:r>
    </w:p>
    <w:p w:rsidR="00014A98" w:rsidRDefault="00014A98">
      <w:pPr>
        <w:pBdr>
          <w:bottom w:val="single" w:sz="6" w:space="1" w:color="1B3A6B"/>
        </w:pBdr>
        <w:spacing w:before="60" w:after="200"/>
      </w:pPr>
    </w:p>
    <w:p w:rsidR="00014A98" w:rsidRDefault="00014A98">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014A9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014A98" w:rsidRDefault="001628A5">
            <w:r>
              <w:rPr>
                <w:b/>
                <w:bCs/>
                <w:color w:val="FFFFFF"/>
                <w:sz w:val="19"/>
                <w:szCs w:val="19"/>
              </w:rPr>
              <w:t>Approved By</w:t>
            </w:r>
          </w:p>
        </w:tc>
      </w:tr>
      <w:tr w:rsidR="00014A9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Dr. James Stanley</w:t>
            </w:r>
          </w:p>
        </w:tc>
      </w:tr>
      <w:tr w:rsidR="00014A9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 xml:space="preserve">Comprehensive review: payment model restructured to separate employer-funded (invoice 48h before, pay within 14 days) and self-funded employee (pay at booking) flows; Stripe removed — replaced with </w:t>
            </w:r>
            <w:proofErr w:type="spellStart"/>
            <w:r>
              <w:rPr>
                <w:sz w:val="19"/>
                <w:szCs w:val="19"/>
              </w:rPr>
              <w:t>Zoho</w:t>
            </w:r>
            <w:proofErr w:type="spellEnd"/>
            <w:r>
              <w:rPr>
                <w:sz w:val="19"/>
                <w:szCs w:val="19"/>
              </w:rPr>
              <w:t xml:space="preserve"> Books / </w:t>
            </w:r>
            <w:proofErr w:type="spellStart"/>
            <w:r>
              <w:rPr>
                <w:sz w:val="19"/>
                <w:szCs w:val="19"/>
              </w:rPr>
              <w:t>Monzo</w:t>
            </w:r>
            <w:proofErr w:type="spellEnd"/>
            <w:r>
              <w:rPr>
                <w:sz w:val="19"/>
                <w:szCs w:val="19"/>
              </w:rPr>
              <w:t xml:space="preserve"> bank transfer; 5% per month late intere</w:t>
            </w:r>
            <w:r>
              <w:rPr>
                <w:sz w:val="19"/>
                <w:szCs w:val="19"/>
              </w:rPr>
              <w:t>st replaced with statutory rate under Late Payment of Commercial Debts (Interest) Act 1998; no-show policy updated — first no-show free rebook for employer referrals, second no-show 50% charge; self-funded no-show policy added (full forfeit; discounted reb</w:t>
            </w:r>
            <w:r>
              <w:rPr>
                <w:sz w:val="19"/>
                <w:szCs w:val="19"/>
              </w:rPr>
              <w:t xml:space="preserve">ook within 30 days); report revision fee updated to £75/hour; Financial Ombudsman removed (not applicable to OH services); dispute resolution corrected to County Court / Small </w:t>
            </w:r>
            <w:r>
              <w:rPr>
                <w:sz w:val="19"/>
                <w:szCs w:val="19"/>
              </w:rPr>
              <w:lastRenderedPageBreak/>
              <w:t>Claims Track; accessibility service cancellation policy expanded; additional ser</w:t>
            </w:r>
            <w:r>
              <w:rPr>
                <w:sz w:val="19"/>
                <w:szCs w:val="19"/>
              </w:rPr>
              <w:t>vices table added.</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lastRenderedPageBreak/>
              <w:t>Dr. James Stanley</w:t>
            </w:r>
          </w:p>
        </w:tc>
      </w:tr>
      <w:tr w:rsidR="00014A98">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lastRenderedPageBreak/>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1628A5">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014A98"/>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014A98" w:rsidRDefault="00014A98"/>
        </w:tc>
      </w:tr>
    </w:tbl>
    <w:p w:rsidR="00014A98" w:rsidRDefault="00014A98">
      <w:pPr>
        <w:spacing w:before="160"/>
      </w:pPr>
    </w:p>
    <w:p w:rsidR="00014A98" w:rsidRDefault="001628A5">
      <w:pPr>
        <w:spacing w:before="60" w:after="100"/>
      </w:pPr>
      <w:r>
        <w:rPr>
          <w:b/>
          <w:bCs/>
          <w:color w:val="1A1A2E"/>
        </w:rPr>
        <w:t>Approved by: Dr. James Stanley, Clinical Lead</w:t>
      </w:r>
    </w:p>
    <w:p w:rsidR="00014A98" w:rsidRDefault="001628A5">
      <w:pPr>
        <w:spacing w:before="60" w:after="100"/>
      </w:pPr>
      <w:r>
        <w:rPr>
          <w:color w:val="1A1A2E"/>
        </w:rPr>
        <w:t>Contact: contact@healthbridge.org.uk</w:t>
      </w:r>
    </w:p>
    <w:p w:rsidR="00014A98" w:rsidRDefault="00014A98">
      <w:pPr>
        <w:spacing w:before="60"/>
      </w:pPr>
    </w:p>
    <w:p w:rsidR="00014A98" w:rsidRDefault="001628A5">
      <w:pPr>
        <w:spacing w:before="60" w:after="100"/>
      </w:pPr>
      <w:r>
        <w:rPr>
          <w:i/>
          <w:iCs/>
          <w:color w:val="6B7280"/>
        </w:rPr>
        <w:t xml:space="preserve">HealthBridge Occupational Health </w:t>
      </w:r>
      <w:proofErr w:type="gramStart"/>
      <w:r>
        <w:rPr>
          <w:i/>
          <w:iCs/>
          <w:color w:val="6B7280"/>
        </w:rPr>
        <w:t>Ltd  |</w:t>
      </w:r>
      <w:proofErr w:type="gramEnd"/>
      <w:r>
        <w:rPr>
          <w:i/>
          <w:iCs/>
          <w:color w:val="6B7280"/>
        </w:rPr>
        <w:t xml:space="preserve">  Company No: 16615396</w:t>
      </w:r>
    </w:p>
    <w:p w:rsidR="00014A98" w:rsidRDefault="001628A5">
      <w:pPr>
        <w:spacing w:before="60" w:after="100"/>
      </w:pPr>
      <w:r>
        <w:rPr>
          <w:i/>
          <w:iCs/>
          <w:color w:val="6B7280"/>
        </w:rPr>
        <w:t xml:space="preserve">Registered Address: 50 </w:t>
      </w:r>
      <w:proofErr w:type="spellStart"/>
      <w:r>
        <w:rPr>
          <w:i/>
          <w:iCs/>
          <w:color w:val="6B7280"/>
        </w:rPr>
        <w:t>Hadow</w:t>
      </w:r>
      <w:proofErr w:type="spellEnd"/>
      <w:r>
        <w:rPr>
          <w:i/>
          <w:iCs/>
          <w:color w:val="6B7280"/>
        </w:rPr>
        <w:t xml:space="preserve"> Way, Gloucester, GL2 4YJ</w:t>
      </w:r>
    </w:p>
    <w:p w:rsidR="00014A98" w:rsidRDefault="001628A5">
      <w:pPr>
        <w:spacing w:before="60" w:after="100"/>
      </w:pPr>
      <w:proofErr w:type="gramStart"/>
      <w:r>
        <w:rPr>
          <w:i/>
          <w:iCs/>
          <w:color w:val="6B7280"/>
        </w:rPr>
        <w:t>© HealthBridge Occupational Health Ltd. Unauthorised distribution prohibited.</w:t>
      </w:r>
      <w:proofErr w:type="gramEnd"/>
    </w:p>
    <w:sectPr w:rsidR="00014A98" w:rsidSect="00014A98">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A98" w:rsidRDefault="00014A98" w:rsidP="00014A98">
      <w:r>
        <w:separator/>
      </w:r>
    </w:p>
  </w:endnote>
  <w:endnote w:type="continuationSeparator" w:id="0">
    <w:p w:rsidR="00014A98" w:rsidRDefault="00014A98" w:rsidP="00014A9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A98" w:rsidRDefault="001628A5">
    <w:pPr>
      <w:pBdr>
        <w:top w:val="single" w:sz="4" w:space="2" w:color="1B3A6B"/>
      </w:pBdr>
      <w:tabs>
        <w:tab w:val="right" w:pos="9026"/>
      </w:tabs>
      <w:spacing w:before="120"/>
    </w:pPr>
    <w:r>
      <w:rPr>
        <w:color w:val="6B7280"/>
        <w:sz w:val="16"/>
        <w:szCs w:val="16"/>
      </w:rPr>
      <w:t xml:space="preserve">HealthBridge Occupational Health </w:t>
    </w:r>
    <w:proofErr w:type="gramStart"/>
    <w:r>
      <w:rPr>
        <w:color w:val="6B7280"/>
        <w:sz w:val="16"/>
        <w:szCs w:val="16"/>
      </w:rPr>
      <w:t>Ltd  |</w:t>
    </w:r>
    <w:proofErr w:type="gramEnd"/>
    <w:r>
      <w:rPr>
        <w:color w:val="6B7280"/>
        <w:sz w:val="16"/>
        <w:szCs w:val="16"/>
      </w:rPr>
      <w:t xml:space="preserve">  Co. No: </w:t>
    </w:r>
    <w:proofErr w:type="gramStart"/>
    <w:r>
      <w:rPr>
        <w:color w:val="6B7280"/>
        <w:sz w:val="16"/>
        <w:szCs w:val="16"/>
      </w:rPr>
      <w:t>16615396  |</w:t>
    </w:r>
    <w:proofErr w:type="gramEnd"/>
    <w:r>
      <w:rPr>
        <w:color w:val="6B7280"/>
        <w:sz w:val="16"/>
        <w:szCs w:val="16"/>
      </w:rPr>
      <w:t xml:space="preserve">  50 </w:t>
    </w:r>
    <w:proofErr w:type="spellStart"/>
    <w:r>
      <w:rPr>
        <w:color w:val="6B7280"/>
        <w:sz w:val="16"/>
        <w:szCs w:val="16"/>
      </w:rPr>
      <w:t>Hadow</w:t>
    </w:r>
    <w:proofErr w:type="spellEnd"/>
    <w:r>
      <w:rPr>
        <w:color w:val="6B7280"/>
        <w:sz w:val="16"/>
        <w:szCs w:val="16"/>
      </w:rPr>
      <w:t xml:space="preserve"> Way, Gloucester, GL2 4YJ</w:t>
    </w:r>
    <w:r>
      <w:rPr>
        <w:color w:val="6B7280"/>
        <w:sz w:val="16"/>
        <w:szCs w:val="16"/>
      </w:rPr>
      <w:tab/>
      <w:t xml:space="preserve">Page </w:t>
    </w:r>
    <w:r w:rsidR="00014A98">
      <w:rPr>
        <w:color w:val="6B7280"/>
        <w:sz w:val="16"/>
        <w:szCs w:val="16"/>
      </w:rPr>
      <w:fldChar w:fldCharType="begin"/>
    </w:r>
    <w:r>
      <w:rPr>
        <w:color w:val="6B7280"/>
        <w:sz w:val="16"/>
        <w:szCs w:val="16"/>
      </w:rPr>
      <w:instrText>PAGE</w:instrText>
    </w:r>
    <w:r w:rsidR="00FA54B7">
      <w:rPr>
        <w:color w:val="6B7280"/>
        <w:sz w:val="16"/>
        <w:szCs w:val="16"/>
      </w:rPr>
      <w:fldChar w:fldCharType="separate"/>
    </w:r>
    <w:r w:rsidR="00FA54B7">
      <w:rPr>
        <w:noProof/>
        <w:color w:val="6B7280"/>
        <w:sz w:val="16"/>
        <w:szCs w:val="16"/>
      </w:rPr>
      <w:t>2</w:t>
    </w:r>
    <w:r w:rsidR="00014A98">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A98" w:rsidRDefault="00014A98" w:rsidP="00014A98">
      <w:r>
        <w:separator/>
      </w:r>
    </w:p>
  </w:footnote>
  <w:footnote w:type="continuationSeparator" w:id="0">
    <w:p w:rsidR="00014A98" w:rsidRDefault="00014A98" w:rsidP="00014A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A98" w:rsidRDefault="001628A5">
    <w:pPr>
      <w:tabs>
        <w:tab w:val="right" w:pos="9026"/>
      </w:tabs>
      <w:spacing w:after="100"/>
    </w:pPr>
    <w:r>
      <w:rPr>
        <w:color w:val="6B7280"/>
        <w:sz w:val="16"/>
        <w:szCs w:val="16"/>
      </w:rPr>
      <w:t xml:space="preserve">Version </w:t>
    </w:r>
    <w:proofErr w:type="gramStart"/>
    <w:r>
      <w:rPr>
        <w:color w:val="6B7280"/>
        <w:sz w:val="16"/>
        <w:szCs w:val="16"/>
      </w:rPr>
      <w:t>2.0  |</w:t>
    </w:r>
    <w:proofErr w:type="gramEnd"/>
    <w:r>
      <w:rPr>
        <w:color w:val="6B7280"/>
        <w:sz w:val="16"/>
        <w:szCs w:val="16"/>
      </w:rPr>
      <w:t xml:space="preserve">  Effective: 13/06/2026  |  Owner: Dr. James</w:t>
    </w:r>
    <w:r>
      <w:rPr>
        <w:color w:val="6B7280"/>
        <w:sz w:val="16"/>
        <w:szCs w:val="16"/>
      </w:rPr>
      <w:t xml:space="preserve"> Stanley</w:t>
    </w:r>
    <w:r>
      <w:rPr>
        <w:color w:val="6B7280"/>
        <w:sz w:val="16"/>
        <w:szCs w:val="16"/>
      </w:rPr>
      <w:tab/>
      <w:t>Next Review: 13/06/2027</w:t>
    </w:r>
  </w:p>
  <w:p w:rsidR="00014A98" w:rsidRDefault="00014A98">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042AC"/>
    <w:multiLevelType w:val="hybridMultilevel"/>
    <w:tmpl w:val="F066305A"/>
    <w:lvl w:ilvl="0" w:tplc="643A6026">
      <w:start w:val="1"/>
      <w:numFmt w:val="bullet"/>
      <w:lvlText w:val="•"/>
      <w:lvlJc w:val="left"/>
      <w:pPr>
        <w:ind w:left="540" w:hanging="360"/>
      </w:pPr>
    </w:lvl>
    <w:lvl w:ilvl="1" w:tplc="F3A6B32A">
      <w:numFmt w:val="decimal"/>
      <w:lvlText w:val=""/>
      <w:lvlJc w:val="left"/>
    </w:lvl>
    <w:lvl w:ilvl="2" w:tplc="0204D64E">
      <w:numFmt w:val="decimal"/>
      <w:lvlText w:val=""/>
      <w:lvlJc w:val="left"/>
    </w:lvl>
    <w:lvl w:ilvl="3" w:tplc="FF82C840">
      <w:numFmt w:val="decimal"/>
      <w:lvlText w:val=""/>
      <w:lvlJc w:val="left"/>
    </w:lvl>
    <w:lvl w:ilvl="4" w:tplc="DEAE5CA4">
      <w:numFmt w:val="decimal"/>
      <w:lvlText w:val=""/>
      <w:lvlJc w:val="left"/>
    </w:lvl>
    <w:lvl w:ilvl="5" w:tplc="9838412A">
      <w:numFmt w:val="decimal"/>
      <w:lvlText w:val=""/>
      <w:lvlJc w:val="left"/>
    </w:lvl>
    <w:lvl w:ilvl="6" w:tplc="4FB42190">
      <w:numFmt w:val="decimal"/>
      <w:lvlText w:val=""/>
      <w:lvlJc w:val="left"/>
    </w:lvl>
    <w:lvl w:ilvl="7" w:tplc="188C1EDA">
      <w:numFmt w:val="decimal"/>
      <w:lvlText w:val=""/>
      <w:lvlJc w:val="left"/>
    </w:lvl>
    <w:lvl w:ilvl="8" w:tplc="0F580EE0">
      <w:numFmt w:val="decimal"/>
      <w:lvlText w:val=""/>
      <w:lvlJc w:val="left"/>
    </w:lvl>
  </w:abstractNum>
  <w:abstractNum w:abstractNumId="1">
    <w:nsid w:val="38223666"/>
    <w:multiLevelType w:val="hybridMultilevel"/>
    <w:tmpl w:val="47D29C54"/>
    <w:lvl w:ilvl="0" w:tplc="CAEEBE14">
      <w:start w:val="1"/>
      <w:numFmt w:val="bullet"/>
      <w:lvlText w:val="●"/>
      <w:lvlJc w:val="left"/>
      <w:pPr>
        <w:ind w:left="720" w:hanging="360"/>
      </w:pPr>
    </w:lvl>
    <w:lvl w:ilvl="1" w:tplc="7E4E159E">
      <w:start w:val="1"/>
      <w:numFmt w:val="bullet"/>
      <w:lvlText w:val="○"/>
      <w:lvlJc w:val="left"/>
      <w:pPr>
        <w:ind w:left="1440" w:hanging="360"/>
      </w:pPr>
    </w:lvl>
    <w:lvl w:ilvl="2" w:tplc="C166F5C0">
      <w:start w:val="1"/>
      <w:numFmt w:val="bullet"/>
      <w:lvlText w:val="■"/>
      <w:lvlJc w:val="left"/>
      <w:pPr>
        <w:ind w:left="2160" w:hanging="360"/>
      </w:pPr>
    </w:lvl>
    <w:lvl w:ilvl="3" w:tplc="506230BC">
      <w:start w:val="1"/>
      <w:numFmt w:val="bullet"/>
      <w:lvlText w:val="●"/>
      <w:lvlJc w:val="left"/>
      <w:pPr>
        <w:ind w:left="2880" w:hanging="360"/>
      </w:pPr>
    </w:lvl>
    <w:lvl w:ilvl="4" w:tplc="EACAC5DC">
      <w:start w:val="1"/>
      <w:numFmt w:val="bullet"/>
      <w:lvlText w:val="○"/>
      <w:lvlJc w:val="left"/>
      <w:pPr>
        <w:ind w:left="3600" w:hanging="360"/>
      </w:pPr>
    </w:lvl>
    <w:lvl w:ilvl="5" w:tplc="361C3182">
      <w:start w:val="1"/>
      <w:numFmt w:val="bullet"/>
      <w:lvlText w:val="■"/>
      <w:lvlJc w:val="left"/>
      <w:pPr>
        <w:ind w:left="4320" w:hanging="360"/>
      </w:pPr>
    </w:lvl>
    <w:lvl w:ilvl="6" w:tplc="CE6230FE">
      <w:start w:val="1"/>
      <w:numFmt w:val="bullet"/>
      <w:lvlText w:val="●"/>
      <w:lvlJc w:val="left"/>
      <w:pPr>
        <w:ind w:left="5040" w:hanging="360"/>
      </w:pPr>
    </w:lvl>
    <w:lvl w:ilvl="7" w:tplc="C5BE8EB6">
      <w:start w:val="1"/>
      <w:numFmt w:val="bullet"/>
      <w:lvlText w:val="●"/>
      <w:lvlJc w:val="left"/>
      <w:pPr>
        <w:ind w:left="5760" w:hanging="360"/>
      </w:pPr>
    </w:lvl>
    <w:lvl w:ilvl="8" w:tplc="63B46912">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014A98"/>
    <w:rsid w:val="00014A98"/>
    <w:rsid w:val="001628A5"/>
    <w:rsid w:val="00FA54B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014A98"/>
    <w:pPr>
      <w:outlineLvl w:val="0"/>
    </w:pPr>
    <w:rPr>
      <w:color w:val="2E74B5"/>
      <w:sz w:val="32"/>
      <w:szCs w:val="32"/>
    </w:rPr>
  </w:style>
  <w:style w:type="paragraph" w:styleId="Heading2">
    <w:name w:val="heading 2"/>
    <w:qFormat/>
    <w:rsid w:val="00014A98"/>
    <w:pPr>
      <w:outlineLvl w:val="1"/>
    </w:pPr>
    <w:rPr>
      <w:color w:val="2E74B5"/>
      <w:sz w:val="26"/>
      <w:szCs w:val="26"/>
    </w:rPr>
  </w:style>
  <w:style w:type="paragraph" w:styleId="Heading3">
    <w:name w:val="heading 3"/>
    <w:qFormat/>
    <w:rsid w:val="00014A98"/>
    <w:pPr>
      <w:outlineLvl w:val="2"/>
    </w:pPr>
    <w:rPr>
      <w:color w:val="1F4D78"/>
      <w:sz w:val="24"/>
      <w:szCs w:val="24"/>
    </w:rPr>
  </w:style>
  <w:style w:type="paragraph" w:styleId="Heading4">
    <w:name w:val="heading 4"/>
    <w:qFormat/>
    <w:rsid w:val="00014A98"/>
    <w:pPr>
      <w:outlineLvl w:val="3"/>
    </w:pPr>
    <w:rPr>
      <w:i/>
      <w:iCs/>
      <w:color w:val="2E74B5"/>
    </w:rPr>
  </w:style>
  <w:style w:type="paragraph" w:styleId="Heading5">
    <w:name w:val="heading 5"/>
    <w:qFormat/>
    <w:rsid w:val="00014A98"/>
    <w:pPr>
      <w:outlineLvl w:val="4"/>
    </w:pPr>
    <w:rPr>
      <w:color w:val="2E74B5"/>
    </w:rPr>
  </w:style>
  <w:style w:type="paragraph" w:styleId="Heading6">
    <w:name w:val="heading 6"/>
    <w:qFormat/>
    <w:rsid w:val="00014A98"/>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014A98"/>
    <w:rPr>
      <w:sz w:val="56"/>
      <w:szCs w:val="56"/>
    </w:rPr>
  </w:style>
  <w:style w:type="paragraph" w:customStyle="1" w:styleId="Strong1">
    <w:name w:val="Strong1"/>
    <w:qFormat/>
    <w:rsid w:val="00014A98"/>
    <w:rPr>
      <w:b/>
      <w:bCs/>
    </w:rPr>
  </w:style>
  <w:style w:type="paragraph" w:styleId="ListParagraph">
    <w:name w:val="List Paragraph"/>
    <w:qFormat/>
    <w:rsid w:val="00014A98"/>
  </w:style>
  <w:style w:type="character" w:styleId="Hyperlink">
    <w:name w:val="Hyperlink"/>
    <w:uiPriority w:val="99"/>
    <w:unhideWhenUsed/>
    <w:rsid w:val="00014A98"/>
    <w:rPr>
      <w:color w:val="0563C1"/>
      <w:u w:val="single"/>
    </w:rPr>
  </w:style>
  <w:style w:type="character" w:styleId="FootnoteReference">
    <w:name w:val="footnote reference"/>
    <w:uiPriority w:val="99"/>
    <w:semiHidden/>
    <w:unhideWhenUsed/>
    <w:rsid w:val="00014A98"/>
    <w:rPr>
      <w:vertAlign w:val="superscript"/>
    </w:rPr>
  </w:style>
  <w:style w:type="paragraph" w:styleId="FootnoteText">
    <w:name w:val="footnote text"/>
    <w:link w:val="FootnoteTextChar"/>
    <w:uiPriority w:val="99"/>
    <w:semiHidden/>
    <w:unhideWhenUsed/>
    <w:rsid w:val="00014A98"/>
  </w:style>
  <w:style w:type="character" w:customStyle="1" w:styleId="FootnoteTextChar">
    <w:name w:val="Footnote Text Char"/>
    <w:link w:val="FootnoteText"/>
    <w:uiPriority w:val="99"/>
    <w:semiHidden/>
    <w:unhideWhenUsed/>
    <w:rsid w:val="00014A98"/>
    <w:rPr>
      <w:sz w:val="20"/>
      <w:szCs w:val="20"/>
    </w:rPr>
  </w:style>
  <w:style w:type="character" w:styleId="EndnoteReference">
    <w:name w:val="endnote reference"/>
    <w:uiPriority w:val="99"/>
    <w:semiHidden/>
    <w:unhideWhenUsed/>
    <w:rsid w:val="00014A98"/>
    <w:rPr>
      <w:vertAlign w:val="superscript"/>
    </w:rPr>
  </w:style>
  <w:style w:type="paragraph" w:styleId="EndnoteText">
    <w:name w:val="endnote text"/>
    <w:link w:val="EndnoteTextChar"/>
    <w:uiPriority w:val="99"/>
    <w:semiHidden/>
    <w:unhideWhenUsed/>
    <w:rsid w:val="00014A98"/>
  </w:style>
  <w:style w:type="character" w:customStyle="1" w:styleId="EndnoteTextChar">
    <w:name w:val="Endnote Text Char"/>
    <w:link w:val="EndnoteText"/>
    <w:uiPriority w:val="99"/>
    <w:semiHidden/>
    <w:unhideWhenUsed/>
    <w:rsid w:val="00014A98"/>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1715</Words>
  <Characters>9777</Characters>
  <Application>Microsoft Office Word</Application>
  <DocSecurity>0</DocSecurity>
  <Lines>81</Lines>
  <Paragraphs>22</Paragraphs>
  <ScaleCrop>false</ScaleCrop>
  <Company>Grizli777</Company>
  <LinksUpToDate>false</LinksUpToDate>
  <CharactersWithSpaces>11470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2026-06-17T11:24:00Z</dcterms:created>
  <dcterms:modified xsi:type="dcterms:W3CDTF">2026-06-17T11:24:00Z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