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6E7" w:rsidRDefault="00D467BD">
      <w:pPr>
        <w:spacing w:before="100" w:after="40"/>
      </w:pPr>
      <w:r>
        <w:rPr>
          <w:b/>
          <w:bCs/>
          <w:color w:val="1B3A6B"/>
          <w:sz w:val="30"/>
          <w:szCs w:val="30"/>
        </w:rPr>
        <w:t>HEALTHBRIDGE OCCUPATIONAL HEALTH</w:t>
      </w:r>
    </w:p>
    <w:p w:rsidR="00DA46E7" w:rsidRDefault="00D467BD">
      <w:pPr>
        <w:spacing w:after="60"/>
      </w:pPr>
      <w:r>
        <w:rPr>
          <w:b/>
          <w:bCs/>
          <w:color w:val="1B3A6B"/>
          <w:sz w:val="24"/>
          <w:szCs w:val="24"/>
        </w:rPr>
        <w:t>Occupational Health Assessment Report</w:t>
      </w:r>
    </w:p>
    <w:p w:rsidR="00DA46E7" w:rsidRDefault="0040511A">
      <w:pPr>
        <w:pBdr>
          <w:bottom w:val="thick" w:sz="10" w:space="3" w:color="1B3A6B"/>
        </w:pBdr>
        <w:spacing w:after="160"/>
      </w:pPr>
      <w:r>
        <w:rPr>
          <w:b/>
          <w:bCs/>
          <w:color w:val="6B7280"/>
          <w:sz w:val="18"/>
          <w:szCs w:val="18"/>
        </w:rPr>
        <w:t>CONFIDENTIAL -</w:t>
      </w:r>
      <w:r w:rsidR="00D467BD">
        <w:rPr>
          <w:b/>
          <w:bCs/>
          <w:color w:val="6B7280"/>
          <w:sz w:val="18"/>
          <w:szCs w:val="18"/>
        </w:rPr>
        <w:t xml:space="preserve"> Occupational Health Use Only</w:t>
      </w:r>
    </w:p>
    <w:p w:rsidR="00DA46E7" w:rsidRDefault="00DA46E7">
      <w:pPr>
        <w:spacing w:before="8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6626"/>
      </w:tblGrid>
      <w:tr w:rsidR="00DA46E7">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DA46E7" w:rsidRDefault="00D467BD">
            <w:r>
              <w:rPr>
                <w:b/>
                <w:bCs/>
                <w:color w:val="FFFFFF"/>
              </w:rPr>
              <w:t>Employee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t>Helen K.</w:t>
            </w:r>
          </w:p>
        </w:tc>
      </w:tr>
      <w:tr w:rsidR="00DA46E7">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DA46E7" w:rsidRDefault="00D467BD">
            <w:r>
              <w:rPr>
                <w:b/>
                <w:bCs/>
                <w:color w:val="FFFFFF"/>
              </w:rPr>
              <w:t>Date of Birth</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t>19/08/1971</w:t>
            </w:r>
          </w:p>
        </w:tc>
      </w:tr>
      <w:tr w:rsidR="00DA46E7">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DA46E7" w:rsidRDefault="00D467BD">
            <w:r>
              <w:rPr>
                <w:b/>
                <w:bCs/>
                <w:color w:val="FFFFFF"/>
              </w:rPr>
              <w:t>Employer</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proofErr w:type="spellStart"/>
            <w:r>
              <w:t>Brightwell</w:t>
            </w:r>
            <w:proofErr w:type="spellEnd"/>
            <w:r>
              <w:t xml:space="preserve"> Customer Solutions Ltd</w:t>
            </w:r>
          </w:p>
        </w:tc>
      </w:tr>
      <w:tr w:rsidR="00DA46E7">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DA46E7" w:rsidRDefault="00D467BD">
            <w:r>
              <w:rPr>
                <w:b/>
                <w:bCs/>
                <w:color w:val="FFFFFF"/>
              </w:rPr>
              <w:t>Role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t>Customer Service Team Leader (contact centre)</w:t>
            </w:r>
          </w:p>
        </w:tc>
      </w:tr>
      <w:tr w:rsidR="00DA46E7">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DA46E7" w:rsidRDefault="00D467BD">
            <w:r>
              <w:rPr>
                <w:b/>
                <w:bCs/>
                <w:color w:val="FFFFFF"/>
              </w:rPr>
              <w:t>Assessment Date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t>20/02/2026</w:t>
            </w:r>
          </w:p>
        </w:tc>
      </w:tr>
      <w:tr w:rsidR="00DA46E7">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DA46E7" w:rsidRDefault="00D467BD">
            <w:r>
              <w:rPr>
                <w:b/>
                <w:bCs/>
                <w:color w:val="FFFFFF"/>
              </w:rPr>
              <w:t>Assessment Type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t>Remote Consultation (Video)</w:t>
            </w:r>
          </w:p>
        </w:tc>
      </w:tr>
      <w:tr w:rsidR="00DA46E7">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DA46E7" w:rsidRDefault="00D467BD">
            <w:r>
              <w:rPr>
                <w:b/>
                <w:bCs/>
                <w:color w:val="FFFFFF"/>
              </w:rPr>
              <w:t>Clinician</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t>Dr James Stanley, GP providing Occupational Health Services (GMC: 7285162)</w:t>
            </w:r>
          </w:p>
        </w:tc>
      </w:tr>
    </w:tbl>
    <w:p w:rsidR="00DA46E7" w:rsidRDefault="00DA46E7">
      <w:pPr>
        <w:spacing w:before="140"/>
      </w:pPr>
    </w:p>
    <w:p w:rsidR="00DA46E7" w:rsidRDefault="00D467BD">
      <w:pPr>
        <w:keepNext/>
        <w:spacing w:before="320" w:after="100"/>
      </w:pPr>
      <w:r>
        <w:rPr>
          <w:b/>
          <w:bCs/>
          <w:color w:val="1B3A6B"/>
          <w:sz w:val="24"/>
          <w:szCs w:val="24"/>
        </w:rPr>
        <w:t>1.  Reason for Referral</w:t>
      </w:r>
    </w:p>
    <w:p w:rsidR="00DA46E7" w:rsidRDefault="00DA46E7">
      <w:pPr>
        <w:keepNext/>
        <w:pBdr>
          <w:bottom w:val="single" w:sz="5" w:space="1" w:color="1B3A6B"/>
        </w:pBdr>
        <w:spacing w:before="40" w:after="140"/>
      </w:pPr>
    </w:p>
    <w:p w:rsidR="00DA46E7" w:rsidRDefault="00D467BD">
      <w:pPr>
        <w:spacing w:before="60" w:after="90"/>
      </w:pPr>
      <w:r>
        <w:rPr>
          <w:color w:val="1A1A2E"/>
        </w:rPr>
        <w:t>Helen has been absent from work for approximately five months following a fall in the stockroom that resulted in a shoulder injury. She is currently the subject of a long-term absence review under the employer's attendance management policy, and there is some disagreement between Helen's account of her functional limitations and views expressed informally by her manager, who has queried, without direct evidence, whether her recovery is being prolonged. Helen has also notified her employer that she has lodged a personal injury claim in relation to the fall, which her employer's insurers are reviewing separately. The employer is seeking advice on current fitness for work, realistic return-to-work options, and whether a return date can now be anticipated.</w:t>
      </w:r>
    </w:p>
    <w:p w:rsidR="00DA46E7" w:rsidRDefault="00DA46E7">
      <w:pPr>
        <w:spacing w:before="120"/>
      </w:pPr>
    </w:p>
    <w:p w:rsidR="00DA46E7" w:rsidRDefault="00D467BD">
      <w:pPr>
        <w:keepNext/>
        <w:spacing w:before="320" w:after="100"/>
      </w:pPr>
      <w:r>
        <w:rPr>
          <w:b/>
          <w:bCs/>
          <w:color w:val="1B3A6B"/>
          <w:sz w:val="24"/>
          <w:szCs w:val="24"/>
        </w:rPr>
        <w:t>2.  Specific Questions Addressed (as Agreed with the Referring Employer)</w:t>
      </w:r>
    </w:p>
    <w:p w:rsidR="00DA46E7" w:rsidRDefault="00DA46E7">
      <w:pPr>
        <w:keepNext/>
        <w:pBdr>
          <w:bottom w:val="single" w:sz="5" w:space="1" w:color="1B3A6B"/>
        </w:pBdr>
        <w:spacing w:before="40" w:after="140"/>
      </w:pPr>
    </w:p>
    <w:p w:rsidR="00DA46E7" w:rsidRPr="00445476" w:rsidRDefault="00D467BD">
      <w:pPr>
        <w:pStyle w:val="ListParagraph"/>
        <w:numPr>
          <w:ilvl w:val="0"/>
          <w:numId w:val="2"/>
        </w:numPr>
        <w:spacing w:before="30" w:after="30"/>
      </w:pPr>
      <w:r>
        <w:rPr>
          <w:b/>
          <w:bCs/>
          <w:color w:val="1A1A2E"/>
        </w:rPr>
        <w:t>Q1: Is there a clinical basis for the manager's concern that Helen's recovery may be slower than expected, or is the current presentation consistent with the nature of the injury?</w:t>
      </w:r>
      <w:r w:rsidR="00445476">
        <w:rPr>
          <w:b/>
          <w:bCs/>
          <w:color w:val="1A1A2E"/>
        </w:rPr>
        <w:t xml:space="preserve"> </w:t>
      </w:r>
    </w:p>
    <w:p w:rsidR="00445476" w:rsidRDefault="00445476" w:rsidP="00445476">
      <w:pPr>
        <w:pStyle w:val="ListParagraph"/>
        <w:spacing w:before="30" w:after="30"/>
        <w:ind w:left="320"/>
      </w:pPr>
    </w:p>
    <w:p w:rsidR="00DA46E7" w:rsidRDefault="00D467BD">
      <w:pPr>
        <w:spacing w:before="60" w:after="90"/>
      </w:pPr>
      <w:r>
        <w:rPr>
          <w:color w:val="1A1A2E"/>
        </w:rPr>
        <w:t>A1: On the clinical information available, Helen's ongoing limitation is consistent with a significant rotator cuff injury, surgically repaired some ten weeks ago, and the</w:t>
      </w:r>
      <w:r w:rsidR="00445476">
        <w:rPr>
          <w:color w:val="1A1A2E"/>
        </w:rPr>
        <w:t xml:space="preserve"> recovery trajectory described,</w:t>
      </w:r>
      <w:r>
        <w:rPr>
          <w:color w:val="1A1A2E"/>
        </w:rPr>
        <w:t xml:space="preserve"> slow, </w:t>
      </w:r>
      <w:proofErr w:type="spellStart"/>
      <w:r>
        <w:rPr>
          <w:color w:val="1A1A2E"/>
        </w:rPr>
        <w:t>plateauing</w:t>
      </w:r>
      <w:proofErr w:type="spellEnd"/>
      <w:r>
        <w:rPr>
          <w:color w:val="1A1A2E"/>
        </w:rPr>
        <w:t xml:space="preserve"> improvement at this stage, with for</w:t>
      </w:r>
      <w:r w:rsidR="00445476">
        <w:rPr>
          <w:color w:val="1A1A2E"/>
        </w:rPr>
        <w:t>mal physiotherapy ongoing,</w:t>
      </w:r>
      <w:r>
        <w:rPr>
          <w:color w:val="1A1A2E"/>
        </w:rPr>
        <w:t xml:space="preserve"> is broadly within the expected range for this type of repair, albeit toward the longer end. I have no clinical basis to support a view that recovery is being deliberately prolonged.</w:t>
      </w:r>
    </w:p>
    <w:p w:rsidR="00DA46E7" w:rsidRDefault="00DA46E7">
      <w:pPr>
        <w:spacing w:before="120"/>
      </w:pPr>
    </w:p>
    <w:p w:rsidR="00DA46E7" w:rsidRPr="00445476" w:rsidRDefault="00D467BD">
      <w:pPr>
        <w:pStyle w:val="ListParagraph"/>
        <w:numPr>
          <w:ilvl w:val="0"/>
          <w:numId w:val="2"/>
        </w:numPr>
        <w:spacing w:before="30" w:after="30"/>
      </w:pPr>
      <w:r>
        <w:rPr>
          <w:b/>
          <w:bCs/>
          <w:color w:val="1A1A2E"/>
        </w:rPr>
        <w:t>Q2: Helen has indicated she has lodged a personal injury claim relating to this injury. Does this affect this OH assessment?</w:t>
      </w:r>
    </w:p>
    <w:p w:rsidR="00445476" w:rsidRDefault="00445476" w:rsidP="00445476">
      <w:pPr>
        <w:pStyle w:val="ListParagraph"/>
        <w:spacing w:before="30" w:after="30"/>
        <w:ind w:left="320"/>
      </w:pPr>
    </w:p>
    <w:p w:rsidR="00DA46E7" w:rsidRDefault="00D467BD">
      <w:pPr>
        <w:spacing w:before="60" w:after="90"/>
      </w:pPr>
      <w:r>
        <w:rPr>
          <w:color w:val="1A1A2E"/>
        </w:rPr>
        <w:t xml:space="preserve">A2: No. This report addresses only Helen's current fitness for work and likely return-to-work pathway; it does not, and is not intended to, </w:t>
      </w:r>
      <w:proofErr w:type="gramStart"/>
      <w:r>
        <w:rPr>
          <w:color w:val="1A1A2E"/>
        </w:rPr>
        <w:t>comment</w:t>
      </w:r>
      <w:proofErr w:type="gramEnd"/>
      <w:r>
        <w:rPr>
          <w:color w:val="1A1A2E"/>
        </w:rPr>
        <w:t xml:space="preserve"> on liability, causation, or quantum in relation to any personal injury claim, and should not be relied upon for that purpose. Should the employer's insurers or solicitors require comment on those matters, this would need to be addressed under a separate, distinct medico-legal instruction, with Helen's consent and full awareness of that different purpose, rather than through this routine OH assessment.</w:t>
      </w:r>
    </w:p>
    <w:p w:rsidR="00DA46E7" w:rsidRDefault="00DA46E7">
      <w:pPr>
        <w:spacing w:before="120"/>
      </w:pPr>
    </w:p>
    <w:p w:rsidR="00DA46E7" w:rsidRPr="00445476" w:rsidRDefault="00D467BD">
      <w:pPr>
        <w:pStyle w:val="ListParagraph"/>
        <w:numPr>
          <w:ilvl w:val="0"/>
          <w:numId w:val="2"/>
        </w:numPr>
        <w:spacing w:before="30" w:after="30"/>
      </w:pPr>
      <w:r>
        <w:rPr>
          <w:b/>
          <w:bCs/>
          <w:color w:val="1A1A2E"/>
        </w:rPr>
        <w:lastRenderedPageBreak/>
        <w:t>Q3: What is a realistic return-to-work plan and timescale?</w:t>
      </w:r>
    </w:p>
    <w:p w:rsidR="00445476" w:rsidRDefault="00445476" w:rsidP="00445476">
      <w:pPr>
        <w:pStyle w:val="ListParagraph"/>
        <w:spacing w:before="30" w:after="30"/>
        <w:ind w:left="320"/>
      </w:pPr>
    </w:p>
    <w:p w:rsidR="00DA46E7" w:rsidRDefault="00D467BD">
      <w:pPr>
        <w:spacing w:before="60" w:after="90"/>
      </w:pPr>
      <w:r>
        <w:rPr>
          <w:color w:val="1A1A2E"/>
        </w:rPr>
        <w:t>A3: See Sections 8 and 9 for the phased plan and anticipated timescale.</w:t>
      </w:r>
    </w:p>
    <w:p w:rsidR="00DA46E7" w:rsidRDefault="00DA46E7">
      <w:pPr>
        <w:spacing w:before="120"/>
      </w:pPr>
    </w:p>
    <w:p w:rsidR="00DA46E7" w:rsidRDefault="00D467BD">
      <w:pPr>
        <w:keepNext/>
        <w:spacing w:before="320" w:after="100"/>
      </w:pPr>
      <w:r>
        <w:rPr>
          <w:b/>
          <w:bCs/>
          <w:color w:val="1B3A6B"/>
          <w:sz w:val="24"/>
          <w:szCs w:val="24"/>
        </w:rPr>
        <w:t>3.  Role and Employment Context</w:t>
      </w:r>
    </w:p>
    <w:p w:rsidR="00DA46E7" w:rsidRDefault="00DA46E7">
      <w:pPr>
        <w:keepNext/>
        <w:pBdr>
          <w:bottom w:val="single" w:sz="5" w:space="1" w:color="1B3A6B"/>
        </w:pBdr>
        <w:spacing w:before="40" w:after="140"/>
      </w:pPr>
    </w:p>
    <w:p w:rsidR="00DA46E7" w:rsidRDefault="00D467BD">
      <w:pPr>
        <w:pStyle w:val="ListParagraph"/>
        <w:numPr>
          <w:ilvl w:val="0"/>
          <w:numId w:val="2"/>
        </w:numPr>
        <w:spacing w:before="30" w:after="30"/>
      </w:pPr>
      <w:r>
        <w:rPr>
          <w:color w:val="1A1A2E"/>
        </w:rPr>
        <w:t xml:space="preserve">Full-time, 37.5 hours per week, normally hybrid (three contact-centre days, two </w:t>
      </w:r>
      <w:proofErr w:type="gramStart"/>
      <w:r>
        <w:rPr>
          <w:color w:val="1A1A2E"/>
        </w:rPr>
        <w:t>home</w:t>
      </w:r>
      <w:proofErr w:type="gramEnd"/>
      <w:r>
        <w:rPr>
          <w:color w:val="1A1A2E"/>
        </w:rPr>
        <w:t>), team-leader role overseeing eight customer service advisers; some occasional manual handling of stock and equipment in the office, which was the context of the original injury.</w:t>
      </w:r>
    </w:p>
    <w:p w:rsidR="00DA46E7" w:rsidRDefault="00D467BD">
      <w:pPr>
        <w:pStyle w:val="ListParagraph"/>
        <w:numPr>
          <w:ilvl w:val="0"/>
          <w:numId w:val="2"/>
        </w:numPr>
        <w:spacing w:before="30" w:after="30"/>
      </w:pPr>
      <w:r>
        <w:rPr>
          <w:color w:val="1A1A2E"/>
        </w:rPr>
        <w:t>Six years' service, the last two as Team Leader; reports to the Customer Operations Manager.</w:t>
      </w:r>
    </w:p>
    <w:p w:rsidR="00DA46E7" w:rsidRDefault="00D467BD">
      <w:pPr>
        <w:pStyle w:val="ListParagraph"/>
        <w:numPr>
          <w:ilvl w:val="0"/>
          <w:numId w:val="2"/>
        </w:numPr>
        <w:spacing w:before="30" w:after="30"/>
      </w:pPr>
      <w:r>
        <w:rPr>
          <w:color w:val="1A1A2E"/>
        </w:rPr>
        <w:t>Previous OH involvement: this is Helen's first referral to HealthBridge. The employer's attendance management policy was triggered automatically once absence exceeded four weeks, in line with standard process; no occupational health input had been sought prior to this referral despite the absence already running for several months, which I would note as a missed opportunity for earlier supportive intervention.</w:t>
      </w:r>
    </w:p>
    <w:p w:rsidR="00DA46E7" w:rsidRDefault="00D467BD">
      <w:pPr>
        <w:pStyle w:val="ListParagraph"/>
        <w:numPr>
          <w:ilvl w:val="0"/>
          <w:numId w:val="2"/>
        </w:numPr>
        <w:spacing w:before="30" w:after="30"/>
      </w:pPr>
      <w:r>
        <w:rPr>
          <w:color w:val="1A1A2E"/>
        </w:rPr>
        <w:t>No adjustments are currently in place, as Helen has not yet returned to any work.</w:t>
      </w:r>
    </w:p>
    <w:p w:rsidR="00DA46E7" w:rsidRDefault="00DA46E7">
      <w:pPr>
        <w:spacing w:before="120"/>
      </w:pPr>
    </w:p>
    <w:p w:rsidR="00DA46E7" w:rsidRDefault="00D467BD">
      <w:pPr>
        <w:keepNext/>
        <w:spacing w:before="320" w:after="100"/>
      </w:pPr>
      <w:r>
        <w:rPr>
          <w:b/>
          <w:bCs/>
          <w:color w:val="1B3A6B"/>
          <w:sz w:val="24"/>
          <w:szCs w:val="24"/>
        </w:rPr>
        <w:t>4.  Medical Summary (As Disclosed by Employee)</w:t>
      </w:r>
    </w:p>
    <w:p w:rsidR="00DA46E7" w:rsidRDefault="00DA46E7">
      <w:pPr>
        <w:keepNext/>
        <w:pBdr>
          <w:bottom w:val="single" w:sz="5" w:space="1" w:color="1B3A6B"/>
        </w:pBdr>
        <w:spacing w:before="40" w:after="140"/>
      </w:pPr>
    </w:p>
    <w:p w:rsidR="00DA46E7" w:rsidRDefault="00D467BD">
      <w:pPr>
        <w:pStyle w:val="ListParagraph"/>
        <w:numPr>
          <w:ilvl w:val="0"/>
          <w:numId w:val="2"/>
        </w:numPr>
        <w:spacing w:before="30" w:after="30"/>
      </w:pPr>
      <w:r>
        <w:rPr>
          <w:color w:val="1A1A2E"/>
        </w:rPr>
        <w:t>Helen sustained a right shoulder injury approximately five months ago in a fall in the stockroom at work.</w:t>
      </w:r>
    </w:p>
    <w:p w:rsidR="00DA46E7" w:rsidRDefault="00D467BD">
      <w:pPr>
        <w:pStyle w:val="ListParagraph"/>
        <w:numPr>
          <w:ilvl w:val="0"/>
          <w:numId w:val="2"/>
        </w:numPr>
        <w:spacing w:before="30" w:after="30"/>
      </w:pPr>
      <w:r>
        <w:rPr>
          <w:color w:val="1A1A2E"/>
        </w:rPr>
        <w:t>Diagnosed with a rotator cuff tear, confirmed on MRI, and underwent surgical repair approximately ten weeks ago.</w:t>
      </w:r>
    </w:p>
    <w:p w:rsidR="00DA46E7" w:rsidRDefault="00D467BD">
      <w:pPr>
        <w:pStyle w:val="ListParagraph"/>
        <w:numPr>
          <w:ilvl w:val="0"/>
          <w:numId w:val="2"/>
        </w:numPr>
        <w:spacing w:before="30" w:after="30"/>
      </w:pPr>
      <w:r>
        <w:rPr>
          <w:color w:val="1A1A2E"/>
        </w:rPr>
        <w:t xml:space="preserve">She is attending structured post-operative physiotherapy twice weekly and describes slow, steady but </w:t>
      </w:r>
      <w:proofErr w:type="spellStart"/>
      <w:r>
        <w:rPr>
          <w:color w:val="1A1A2E"/>
        </w:rPr>
        <w:t>plateauing</w:t>
      </w:r>
      <w:proofErr w:type="spellEnd"/>
      <w:r>
        <w:rPr>
          <w:color w:val="1A1A2E"/>
        </w:rPr>
        <w:t xml:space="preserve"> improvement: she has regained a useful amount of movement but continues to have marked weakness and pain on overhead and behind-the-back movements, and significant fatigue by the end of any sustained activity involving the right arm.</w:t>
      </w:r>
    </w:p>
    <w:p w:rsidR="00DA46E7" w:rsidRDefault="00D467BD">
      <w:pPr>
        <w:pStyle w:val="ListParagraph"/>
        <w:numPr>
          <w:ilvl w:val="0"/>
          <w:numId w:val="2"/>
        </w:numPr>
        <w:spacing w:before="30" w:after="30"/>
      </w:pPr>
      <w:r>
        <w:rPr>
          <w:color w:val="1A1A2E"/>
        </w:rPr>
        <w:t>She remains under the care of the operating orthopaedic surgeon, with a follow-up review due in four weeks to reassess range of movement and consider further input if progress plateaus.</w:t>
      </w:r>
    </w:p>
    <w:p w:rsidR="00DA46E7" w:rsidRDefault="00D467BD">
      <w:pPr>
        <w:pStyle w:val="ListParagraph"/>
        <w:numPr>
          <w:ilvl w:val="0"/>
          <w:numId w:val="2"/>
        </w:numPr>
        <w:spacing w:before="30" w:after="30"/>
      </w:pPr>
      <w:r>
        <w:rPr>
          <w:color w:val="1A1A2E"/>
        </w:rPr>
        <w:t>Pain is managed with paracetamol and occasional codeine; no sedating effect reported at her current, occasional dosing.</w:t>
      </w:r>
    </w:p>
    <w:p w:rsidR="00DA46E7" w:rsidRDefault="00D467BD">
      <w:pPr>
        <w:pStyle w:val="ListParagraph"/>
        <w:numPr>
          <w:ilvl w:val="0"/>
          <w:numId w:val="2"/>
        </w:numPr>
        <w:spacing w:before="30" w:after="30"/>
      </w:pPr>
      <w:r>
        <w:rPr>
          <w:color w:val="1A1A2E"/>
        </w:rPr>
        <w:t>Helen describes low mood and frustration at the slow pace of recovery and at feeling her recovery has been questioned by her manager, but denies symptoms of a clinical depressive episode and has not sought support for this; I would keep this under review given the relational strain described.</w:t>
      </w:r>
    </w:p>
    <w:p w:rsidR="00DA46E7" w:rsidRDefault="00D467BD">
      <w:pPr>
        <w:pStyle w:val="ListParagraph"/>
        <w:numPr>
          <w:ilvl w:val="0"/>
          <w:numId w:val="2"/>
        </w:numPr>
        <w:spacing w:before="30" w:after="30"/>
      </w:pPr>
      <w:r>
        <w:rPr>
          <w:color w:val="1A1A2E"/>
        </w:rPr>
        <w:t>She is keen to return to work but is realistic that she cannot yet manage the physical demands of her substantive role.</w:t>
      </w:r>
    </w:p>
    <w:p w:rsidR="00DA46E7" w:rsidRDefault="00DA46E7">
      <w:pPr>
        <w:spacing w:before="120"/>
      </w:pPr>
    </w:p>
    <w:p w:rsidR="00DA46E7" w:rsidRDefault="00D467BD">
      <w:pPr>
        <w:keepNext/>
        <w:spacing w:before="320" w:after="100"/>
      </w:pPr>
      <w:r>
        <w:rPr>
          <w:b/>
          <w:bCs/>
          <w:color w:val="1B3A6B"/>
          <w:sz w:val="24"/>
          <w:szCs w:val="24"/>
        </w:rPr>
        <w:t>5.  Functional Assessment</w:t>
      </w:r>
    </w:p>
    <w:p w:rsidR="00DA46E7" w:rsidRDefault="00DA46E7">
      <w:pPr>
        <w:keepNext/>
        <w:pBdr>
          <w:bottom w:val="single" w:sz="5" w:space="1" w:color="1B3A6B"/>
        </w:pBdr>
        <w:spacing w:before="40" w:after="140"/>
      </w:pPr>
    </w:p>
    <w:p w:rsidR="00DA46E7" w:rsidRDefault="00D467BD">
      <w:pPr>
        <w:pStyle w:val="ListParagraph"/>
        <w:numPr>
          <w:ilvl w:val="0"/>
          <w:numId w:val="2"/>
        </w:numPr>
        <w:spacing w:before="30" w:after="30"/>
      </w:pPr>
      <w:r>
        <w:rPr>
          <w:color w:val="1A1A2E"/>
        </w:rPr>
        <w:t>Significant ongoing restriction in right shoulder movement, particularly overhead reaching and lifting; left arm and general mobility are unaffected.</w:t>
      </w:r>
    </w:p>
    <w:p w:rsidR="00DA46E7" w:rsidRDefault="00D467BD">
      <w:pPr>
        <w:pStyle w:val="ListParagraph"/>
        <w:numPr>
          <w:ilvl w:val="0"/>
          <w:numId w:val="2"/>
        </w:numPr>
        <w:spacing w:before="30" w:after="30"/>
      </w:pPr>
      <w:r>
        <w:rPr>
          <w:color w:val="1A1A2E"/>
        </w:rPr>
        <w:t>No restriction on sitting, screen-based work, or telephone-based customer contact.</w:t>
      </w:r>
    </w:p>
    <w:p w:rsidR="00DA46E7" w:rsidRDefault="00D467BD">
      <w:pPr>
        <w:pStyle w:val="ListParagraph"/>
        <w:numPr>
          <w:ilvl w:val="0"/>
          <w:numId w:val="2"/>
        </w:numPr>
        <w:spacing w:before="30" w:after="30"/>
      </w:pPr>
      <w:r>
        <w:rPr>
          <w:color w:val="1A1A2E"/>
        </w:rPr>
        <w:t>Fatigue is a limiting factor for any sustained activity using the right arm, including extended periods of typing or mouse use without breaks.</w:t>
      </w:r>
    </w:p>
    <w:p w:rsidR="00DA46E7" w:rsidRDefault="00D467BD">
      <w:pPr>
        <w:pStyle w:val="ListParagraph"/>
        <w:numPr>
          <w:ilvl w:val="0"/>
          <w:numId w:val="2"/>
        </w:numPr>
        <w:spacing w:before="30" w:after="30"/>
      </w:pPr>
      <w:r>
        <w:rPr>
          <w:color w:val="1A1A2E"/>
        </w:rPr>
        <w:t>No cognitive or concentration concerns reported.</w:t>
      </w:r>
    </w:p>
    <w:p w:rsidR="00DA46E7" w:rsidRDefault="00D467BD">
      <w:pPr>
        <w:pStyle w:val="ListParagraph"/>
        <w:numPr>
          <w:ilvl w:val="0"/>
          <w:numId w:val="2"/>
        </w:numPr>
        <w:spacing w:before="30" w:after="30"/>
      </w:pPr>
      <w:r>
        <w:rPr>
          <w:color w:val="1A1A2E"/>
        </w:rPr>
        <w:t>No safety-critical elements in this role; any manual handling duties would need to be excluded entirely at this stage (see Section 8).</w:t>
      </w:r>
    </w:p>
    <w:p w:rsidR="00DA46E7" w:rsidRDefault="00DA46E7">
      <w:pPr>
        <w:spacing w:before="120"/>
      </w:pPr>
    </w:p>
    <w:p w:rsidR="00DA46E7" w:rsidRDefault="00D467BD">
      <w:pPr>
        <w:keepNext/>
        <w:spacing w:before="320" w:after="100"/>
      </w:pPr>
      <w:r>
        <w:rPr>
          <w:b/>
          <w:bCs/>
          <w:color w:val="1B3A6B"/>
          <w:sz w:val="24"/>
          <w:szCs w:val="24"/>
        </w:rPr>
        <w:lastRenderedPageBreak/>
        <w:t>6.  Equality Act 2010 Considerations</w:t>
      </w:r>
    </w:p>
    <w:p w:rsidR="00DA46E7" w:rsidRDefault="00DA46E7">
      <w:pPr>
        <w:keepNext/>
        <w:pBdr>
          <w:bottom w:val="single" w:sz="5" w:space="1" w:color="1B3A6B"/>
        </w:pBdr>
        <w:spacing w:before="40" w:after="140"/>
      </w:pPr>
    </w:p>
    <w:p w:rsidR="00DA46E7" w:rsidRDefault="00D467BD">
      <w:pPr>
        <w:spacing w:before="60" w:after="90"/>
      </w:pPr>
      <w:r>
        <w:rPr>
          <w:color w:val="1A1A2E"/>
        </w:rPr>
        <w:t>Helen's shoulder injury and its ongoing functional impact have already been present for approximately five months. Given the nature of the surgical repair and the recovery trajectory still being described, there is a reasonable likelihood that the overall impact will extend to, or beyond, twelve months from onset once the time already elapsed and the anticipated further recovery and rehabilitation are taken into account.</w:t>
      </w:r>
    </w:p>
    <w:p w:rsidR="00DA46E7" w:rsidRDefault="00DA46E7">
      <w:pPr>
        <w:spacing w:before="60"/>
      </w:pPr>
    </w:p>
    <w:p w:rsidR="00DA46E7" w:rsidRDefault="00D467BD">
      <w:pPr>
        <w:spacing w:before="60" w:after="90"/>
      </w:pPr>
      <w:r>
        <w:rPr>
          <w:color w:val="1A1A2E"/>
        </w:rPr>
        <w:t>On that basis, this condition is likely to meet, or come close to meeting, the Equality Act 2010 definition of disability at this stage, even though full recovery may ultimately be achieved. I would recommend the employer proceeds on a precautionary basis as though the duty to consider reasonable adjustments applies, and revisits this once a clearer recovery endpoint is known.</w:t>
      </w:r>
    </w:p>
    <w:p w:rsidR="00DA46E7" w:rsidRDefault="00DA46E7">
      <w:pPr>
        <w:spacing w:before="120"/>
      </w:pPr>
    </w:p>
    <w:p w:rsidR="00DA46E7" w:rsidRDefault="00D467BD">
      <w:pPr>
        <w:spacing w:before="60" w:after="90"/>
      </w:pPr>
      <w:r>
        <w:rPr>
          <w:i/>
          <w:iCs/>
          <w:color w:val="6B7280"/>
        </w:rPr>
        <w:t>HealthBridge does not make legal determinations of disability status. This is a clinical observation only, intended to assist the employer in considering whether reasonable adjustment duties may apply. The employer should seek their own legal advice if there is any uncertainty.</w:t>
      </w:r>
    </w:p>
    <w:p w:rsidR="00DA46E7" w:rsidRDefault="00DA46E7">
      <w:pPr>
        <w:spacing w:before="120"/>
      </w:pPr>
    </w:p>
    <w:p w:rsidR="00DA46E7" w:rsidRDefault="00D467BD">
      <w:pPr>
        <w:keepNext/>
        <w:spacing w:before="320" w:after="100"/>
      </w:pPr>
      <w:r>
        <w:rPr>
          <w:b/>
          <w:bCs/>
          <w:color w:val="1B3A6B"/>
          <w:sz w:val="24"/>
          <w:szCs w:val="24"/>
        </w:rPr>
        <w:t>7.  Fitness for Work Opinion</w:t>
      </w:r>
    </w:p>
    <w:p w:rsidR="00DA46E7" w:rsidRDefault="00DA46E7">
      <w:pPr>
        <w:keepNext/>
        <w:pBdr>
          <w:bottom w:val="single" w:sz="5" w:space="1" w:color="1B3A6B"/>
        </w:pBdr>
        <w:spacing w:before="40" w:after="140"/>
      </w:pPr>
    </w:p>
    <w:p w:rsidR="00DA46E7" w:rsidRDefault="00D467BD">
      <w:pPr>
        <w:spacing w:before="60" w:after="90"/>
      </w:pPr>
      <w:r>
        <w:rPr>
          <w:b/>
          <w:bCs/>
          <w:color w:val="1A1A2E"/>
        </w:rPr>
        <w:t>Currently unfit for her substantive Team Leader duties in full; likely fit for a graduated, adjusted return within the timescale set out below. Not yet fit for any role involving manual handling or sustained overhead or right-arm use.</w:t>
      </w:r>
    </w:p>
    <w:p w:rsidR="00DA46E7" w:rsidRDefault="00DA46E7">
      <w:pPr>
        <w:spacing w:before="120"/>
      </w:pPr>
    </w:p>
    <w:p w:rsidR="00DA46E7" w:rsidRDefault="00D467BD">
      <w:pPr>
        <w:keepNext/>
        <w:spacing w:before="320" w:after="100"/>
      </w:pPr>
      <w:r>
        <w:rPr>
          <w:b/>
          <w:bCs/>
          <w:color w:val="1B3A6B"/>
          <w:sz w:val="24"/>
          <w:szCs w:val="24"/>
        </w:rPr>
        <w:t>8.  Recommended Adjustments</w:t>
      </w:r>
    </w:p>
    <w:p w:rsidR="00DA46E7" w:rsidRDefault="00DA46E7">
      <w:pPr>
        <w:keepNext/>
        <w:pBdr>
          <w:bottom w:val="single" w:sz="5" w:space="1" w:color="1B3A6B"/>
        </w:pBdr>
        <w:spacing w:before="40" w:after="140"/>
      </w:pPr>
    </w:p>
    <w:p w:rsidR="00DA46E7" w:rsidRDefault="00D467BD">
      <w:pPr>
        <w:spacing w:before="60" w:after="90"/>
      </w:pPr>
      <w:r>
        <w:rPr>
          <w:color w:val="1A1A2E"/>
        </w:rPr>
        <w:t>The following phased return is recommended, subject to confirmation from Helen's treating surgeon at each stage:</w:t>
      </w:r>
    </w:p>
    <w:p w:rsidR="00DA46E7" w:rsidRDefault="00DA46E7">
      <w:pPr>
        <w:spacing w:before="100"/>
      </w:pPr>
    </w:p>
    <w:p w:rsidR="00DA46E7" w:rsidRDefault="00445476">
      <w:pPr>
        <w:spacing w:before="60" w:after="90"/>
      </w:pPr>
      <w:r>
        <w:rPr>
          <w:b/>
          <w:bCs/>
          <w:color w:val="1A1A2E"/>
        </w:rPr>
        <w:t>Phase 1 -</w:t>
      </w:r>
      <w:r w:rsidR="00D467BD">
        <w:rPr>
          <w:b/>
          <w:bCs/>
          <w:color w:val="1A1A2E"/>
        </w:rPr>
        <w:t xml:space="preserve"> Initial return (2–3 weeks, subject to surgeon review):</w:t>
      </w:r>
    </w:p>
    <w:p w:rsidR="00DA46E7" w:rsidRDefault="00D467BD">
      <w:pPr>
        <w:pStyle w:val="ListParagraph"/>
        <w:numPr>
          <w:ilvl w:val="0"/>
          <w:numId w:val="2"/>
        </w:numPr>
        <w:spacing w:before="30" w:after="30"/>
      </w:pPr>
      <w:r>
        <w:rPr>
          <w:color w:val="1A1A2E"/>
        </w:rPr>
        <w:t>Reduced hours (for example, around 50% of contracted hours), phone and screen-based duties only, no manual handling, no overhead or repetitive right-arm tasks.</w:t>
      </w:r>
    </w:p>
    <w:p w:rsidR="00DA46E7" w:rsidRDefault="00D467BD">
      <w:pPr>
        <w:pStyle w:val="ListParagraph"/>
        <w:numPr>
          <w:ilvl w:val="0"/>
          <w:numId w:val="2"/>
        </w:numPr>
        <w:spacing w:before="30" w:after="30"/>
      </w:pPr>
      <w:r>
        <w:rPr>
          <w:color w:val="1A1A2E"/>
        </w:rPr>
        <w:t>Workstation review to ensure the right arm and shoulder are well supported.</w:t>
      </w:r>
    </w:p>
    <w:p w:rsidR="00DA46E7" w:rsidRDefault="00D467BD">
      <w:pPr>
        <w:pStyle w:val="ListParagraph"/>
        <w:numPr>
          <w:ilvl w:val="0"/>
          <w:numId w:val="2"/>
        </w:numPr>
        <w:spacing w:before="30" w:after="30"/>
      </w:pPr>
      <w:r>
        <w:rPr>
          <w:color w:val="1A1A2E"/>
        </w:rPr>
        <w:t>Avoid any requirement to assist with stock movement or equipment handling.</w:t>
      </w:r>
    </w:p>
    <w:p w:rsidR="00DA46E7" w:rsidRDefault="00DA46E7">
      <w:pPr>
        <w:spacing w:before="120"/>
      </w:pPr>
    </w:p>
    <w:p w:rsidR="00DA46E7" w:rsidRDefault="00445476">
      <w:pPr>
        <w:spacing w:before="60" w:after="90"/>
      </w:pPr>
      <w:r>
        <w:rPr>
          <w:b/>
          <w:bCs/>
          <w:color w:val="1A1A2E"/>
        </w:rPr>
        <w:t>Phase 2 -</w:t>
      </w:r>
      <w:r w:rsidR="00D467BD">
        <w:rPr>
          <w:b/>
          <w:bCs/>
          <w:color w:val="1A1A2E"/>
        </w:rPr>
        <w:t xml:space="preserve"> Graduated increase (4–8 weeks post-return, subject to ongoing improvement):</w:t>
      </w:r>
    </w:p>
    <w:p w:rsidR="00DA46E7" w:rsidRDefault="00D467BD">
      <w:pPr>
        <w:pStyle w:val="ListParagraph"/>
        <w:numPr>
          <w:ilvl w:val="0"/>
          <w:numId w:val="2"/>
        </w:numPr>
        <w:spacing w:before="30" w:after="30"/>
      </w:pPr>
      <w:r>
        <w:rPr>
          <w:color w:val="1A1A2E"/>
        </w:rPr>
        <w:t>Gradual increase in hours toward full-time, guided by Helen's tolerance and physiotherapy progress.</w:t>
      </w:r>
    </w:p>
    <w:p w:rsidR="00DA46E7" w:rsidRDefault="00D467BD">
      <w:pPr>
        <w:pStyle w:val="ListParagraph"/>
        <w:numPr>
          <w:ilvl w:val="0"/>
          <w:numId w:val="2"/>
        </w:numPr>
        <w:spacing w:before="30" w:after="30"/>
      </w:pPr>
      <w:r>
        <w:rPr>
          <w:color w:val="1A1A2E"/>
        </w:rPr>
        <w:t>Gradual reintroduction of light team-leader duties not requiring physical exertion, such as coaching conversations and scheduling.</w:t>
      </w:r>
    </w:p>
    <w:p w:rsidR="00DA46E7" w:rsidRDefault="00D467BD">
      <w:pPr>
        <w:pStyle w:val="ListParagraph"/>
        <w:numPr>
          <w:ilvl w:val="0"/>
          <w:numId w:val="2"/>
        </w:numPr>
        <w:spacing w:before="30" w:after="30"/>
      </w:pPr>
      <w:r>
        <w:rPr>
          <w:color w:val="1A1A2E"/>
        </w:rPr>
        <w:t>Continued exclusion from manual handling until specifically cleared by her treating surgeon.</w:t>
      </w:r>
    </w:p>
    <w:p w:rsidR="00DA46E7" w:rsidRDefault="00DA46E7">
      <w:pPr>
        <w:spacing w:before="120"/>
      </w:pPr>
    </w:p>
    <w:p w:rsidR="00DA46E7" w:rsidRDefault="00445476">
      <w:pPr>
        <w:spacing w:before="60" w:after="90"/>
      </w:pPr>
      <w:r>
        <w:rPr>
          <w:b/>
          <w:bCs/>
          <w:color w:val="1A1A2E"/>
        </w:rPr>
        <w:t>Phase 3 -</w:t>
      </w:r>
      <w:r w:rsidR="00D467BD">
        <w:rPr>
          <w:b/>
          <w:bCs/>
          <w:color w:val="1A1A2E"/>
        </w:rPr>
        <w:t xml:space="preserve"> Full duties (beyond 8 weeks):</w:t>
      </w:r>
    </w:p>
    <w:p w:rsidR="00DA46E7" w:rsidRDefault="00D467BD">
      <w:pPr>
        <w:pStyle w:val="ListParagraph"/>
        <w:numPr>
          <w:ilvl w:val="0"/>
          <w:numId w:val="2"/>
        </w:numPr>
        <w:spacing w:before="30" w:after="30"/>
      </w:pPr>
      <w:r>
        <w:rPr>
          <w:color w:val="1A1A2E"/>
        </w:rPr>
        <w:t>Full duties anticipated once surgeon review confirms functional recovery; final clearance for manual handling should come from her treating team rather than from this OH assessment alone, given the surgical history.</w:t>
      </w:r>
    </w:p>
    <w:p w:rsidR="00DA46E7" w:rsidRDefault="00DA46E7">
      <w:pPr>
        <w:spacing w:before="120"/>
      </w:pPr>
    </w:p>
    <w:p w:rsidR="00DA46E7" w:rsidRDefault="00D467BD">
      <w:pPr>
        <w:spacing w:before="60" w:after="90"/>
      </w:pPr>
      <w:r>
        <w:rPr>
          <w:i/>
          <w:iCs/>
          <w:color w:val="6B7280"/>
        </w:rPr>
        <w:t>These recommendations are clinical in nature and are advisory and time-limited. HealthBridge does not assess the cost or operational fe</w:t>
      </w:r>
      <w:r w:rsidR="00445476">
        <w:rPr>
          <w:i/>
          <w:iCs/>
          <w:color w:val="6B7280"/>
        </w:rPr>
        <w:t>asibility of implementing them -</w:t>
      </w:r>
      <w:r>
        <w:rPr>
          <w:i/>
          <w:iCs/>
          <w:color w:val="6B7280"/>
        </w:rPr>
        <w:t xml:space="preserve"> that assessment is the employer's responsibility.</w:t>
      </w:r>
    </w:p>
    <w:p w:rsidR="00DA46E7" w:rsidRDefault="00DA46E7">
      <w:pPr>
        <w:spacing w:before="120"/>
      </w:pPr>
    </w:p>
    <w:p w:rsidR="00DA46E7" w:rsidRDefault="00D467BD">
      <w:pPr>
        <w:keepNext/>
        <w:spacing w:before="320" w:after="100"/>
      </w:pPr>
      <w:r>
        <w:rPr>
          <w:b/>
          <w:bCs/>
          <w:color w:val="1B3A6B"/>
          <w:sz w:val="24"/>
          <w:szCs w:val="24"/>
        </w:rPr>
        <w:lastRenderedPageBreak/>
        <w:t>9.  Likely Prognosis and Timescales</w:t>
      </w:r>
    </w:p>
    <w:p w:rsidR="00DA46E7" w:rsidRDefault="00DA46E7">
      <w:pPr>
        <w:keepNext/>
        <w:pBdr>
          <w:bottom w:val="single" w:sz="5" w:space="1" w:color="1B3A6B"/>
        </w:pBdr>
        <w:spacing w:before="40" w:after="140"/>
      </w:pPr>
    </w:p>
    <w:p w:rsidR="00DA46E7" w:rsidRDefault="00D467BD">
      <w:pPr>
        <w:pStyle w:val="ListParagraph"/>
        <w:numPr>
          <w:ilvl w:val="0"/>
          <w:numId w:val="2"/>
        </w:numPr>
        <w:spacing w:before="30" w:after="30"/>
      </w:pPr>
      <w:r>
        <w:rPr>
          <w:color w:val="1A1A2E"/>
        </w:rPr>
        <w:t>Surgical rotator cuff repairs of this kind often take six to nine months to reach a stable functional plateau; Helen is currently at around the midpoint of that range.</w:t>
      </w:r>
    </w:p>
    <w:p w:rsidR="00DA46E7" w:rsidRDefault="00D467BD">
      <w:pPr>
        <w:pStyle w:val="ListParagraph"/>
        <w:numPr>
          <w:ilvl w:val="0"/>
          <w:numId w:val="2"/>
        </w:numPr>
        <w:spacing w:before="30" w:after="30"/>
      </w:pPr>
      <w:r>
        <w:rPr>
          <w:color w:val="1A1A2E"/>
        </w:rPr>
        <w:t>A graduated return within two to three weeks appears realistic on current presentation, with progression toward full duties over a further two to three months, subject to ongoing surgical and physiotherapy review.</w:t>
      </w:r>
    </w:p>
    <w:p w:rsidR="00DA46E7" w:rsidRDefault="00D467BD">
      <w:pPr>
        <w:pStyle w:val="ListParagraph"/>
        <w:numPr>
          <w:ilvl w:val="0"/>
          <w:numId w:val="2"/>
        </w:numPr>
        <w:spacing w:before="30" w:after="30"/>
      </w:pPr>
      <w:r>
        <w:rPr>
          <w:color w:val="1A1A2E"/>
        </w:rPr>
        <w:t>A further OH review is recommended at the 6–8 week point of any phased return to confirm progress.</w:t>
      </w:r>
    </w:p>
    <w:p w:rsidR="00DA46E7" w:rsidRDefault="00DA46E7">
      <w:pPr>
        <w:spacing w:before="120"/>
      </w:pPr>
    </w:p>
    <w:p w:rsidR="00DA46E7" w:rsidRDefault="00D467BD">
      <w:pPr>
        <w:keepNext/>
        <w:spacing w:before="320" w:after="100"/>
      </w:pPr>
      <w:r>
        <w:rPr>
          <w:b/>
          <w:bCs/>
          <w:color w:val="1B3A6B"/>
          <w:sz w:val="24"/>
          <w:szCs w:val="24"/>
        </w:rPr>
        <w:t>10.  Medication and Work Relevance</w:t>
      </w:r>
    </w:p>
    <w:p w:rsidR="00DA46E7" w:rsidRDefault="00DA46E7">
      <w:pPr>
        <w:keepNext/>
        <w:pBdr>
          <w:bottom w:val="single" w:sz="5" w:space="1" w:color="1B3A6B"/>
        </w:pBdr>
        <w:spacing w:before="40" w:after="140"/>
      </w:pPr>
    </w:p>
    <w:p w:rsidR="00DA46E7" w:rsidRDefault="00D467BD">
      <w:pPr>
        <w:pStyle w:val="ListParagraph"/>
        <w:numPr>
          <w:ilvl w:val="0"/>
          <w:numId w:val="2"/>
        </w:numPr>
        <w:spacing w:before="30" w:after="30"/>
      </w:pPr>
      <w:r>
        <w:rPr>
          <w:color w:val="1A1A2E"/>
        </w:rPr>
        <w:t>Occasional codeine for pain relief: potential for mild sedation; Helen reports no noticeable effect at her current, occasional dosing, but this should be kept in mind if dosing increases.</w:t>
      </w:r>
    </w:p>
    <w:p w:rsidR="00DA46E7" w:rsidRDefault="00D467BD">
      <w:pPr>
        <w:pStyle w:val="ListParagraph"/>
        <w:numPr>
          <w:ilvl w:val="0"/>
          <w:numId w:val="2"/>
        </w:numPr>
        <w:spacing w:before="30" w:after="30"/>
      </w:pPr>
      <w:r>
        <w:rPr>
          <w:color w:val="1A1A2E"/>
        </w:rPr>
        <w:t>Paracetamol: no work relevance.</w:t>
      </w:r>
    </w:p>
    <w:p w:rsidR="00DA46E7" w:rsidRDefault="00DA46E7">
      <w:pPr>
        <w:spacing w:before="120"/>
      </w:pPr>
    </w:p>
    <w:p w:rsidR="00DA46E7" w:rsidRDefault="00D467BD">
      <w:pPr>
        <w:keepNext/>
        <w:spacing w:before="320" w:after="100"/>
      </w:pPr>
      <w:r>
        <w:rPr>
          <w:b/>
          <w:bCs/>
          <w:color w:val="1B3A6B"/>
          <w:sz w:val="24"/>
          <w:szCs w:val="24"/>
        </w:rPr>
        <w:t>11.  Additional Recommendations</w:t>
      </w:r>
    </w:p>
    <w:p w:rsidR="00DA46E7" w:rsidRDefault="00DA46E7">
      <w:pPr>
        <w:keepNext/>
        <w:pBdr>
          <w:bottom w:val="single" w:sz="5" w:space="1" w:color="1B3A6B"/>
        </w:pBdr>
        <w:spacing w:before="40" w:after="140"/>
      </w:pPr>
    </w:p>
    <w:p w:rsidR="00DA46E7" w:rsidRDefault="00D467BD">
      <w:pPr>
        <w:pStyle w:val="ListParagraph"/>
        <w:numPr>
          <w:ilvl w:val="0"/>
          <w:numId w:val="2"/>
        </w:numPr>
        <w:spacing w:before="30" w:after="30"/>
      </w:pPr>
      <w:r>
        <w:rPr>
          <w:color w:val="1A1A2E"/>
        </w:rPr>
        <w:t>I would recommend the employer pause any further formal attendance-management escalation now that a clear, surgeon-informed return pathway is in sight, and move instead to planning the phased return outlined above.</w:t>
      </w:r>
    </w:p>
    <w:p w:rsidR="00DA46E7" w:rsidRDefault="00D467BD">
      <w:pPr>
        <w:pStyle w:val="ListParagraph"/>
        <w:numPr>
          <w:ilvl w:val="0"/>
          <w:numId w:val="2"/>
        </w:numPr>
        <w:spacing w:before="30" w:after="30"/>
      </w:pPr>
      <w:r>
        <w:rPr>
          <w:color w:val="1A1A2E"/>
        </w:rPr>
        <w:t>Given the friction described between Helen and her manager around her recovery, a brief, neutral return-to-work conversation facilitated by HR, rather than the line manager alone, may help reset the relationship before Phase 1 begins.</w:t>
      </w:r>
    </w:p>
    <w:p w:rsidR="00DA46E7" w:rsidRDefault="00D467BD">
      <w:pPr>
        <w:pStyle w:val="ListParagraph"/>
        <w:numPr>
          <w:ilvl w:val="0"/>
          <w:numId w:val="2"/>
        </w:numPr>
        <w:spacing w:before="30" w:after="30"/>
      </w:pPr>
      <w:r>
        <w:rPr>
          <w:color w:val="1A1A2E"/>
        </w:rPr>
        <w:t>As noted in Section 2, any questions about liability or causation relating to the original fall should be directed to a separate medico-legal process, not this report.</w:t>
      </w:r>
    </w:p>
    <w:p w:rsidR="00DA46E7" w:rsidRDefault="00DA46E7">
      <w:pPr>
        <w:spacing w:before="120"/>
      </w:pPr>
    </w:p>
    <w:p w:rsidR="00DA46E7" w:rsidRDefault="00D467BD">
      <w:pPr>
        <w:keepNext/>
        <w:spacing w:before="320" w:after="100"/>
      </w:pPr>
      <w:r>
        <w:rPr>
          <w:b/>
          <w:bCs/>
          <w:color w:val="1B3A6B"/>
          <w:sz w:val="24"/>
          <w:szCs w:val="24"/>
        </w:rPr>
        <w:t>12.  Report Status and Consent</w:t>
      </w:r>
    </w:p>
    <w:p w:rsidR="00DA46E7" w:rsidRDefault="00DA46E7">
      <w:pPr>
        <w:keepNext/>
        <w:pBdr>
          <w:bottom w:val="single" w:sz="5" w:space="1" w:color="1B3A6B"/>
        </w:pBdr>
        <w:spacing w:before="40" w:after="14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800"/>
        <w:gridCol w:w="5226"/>
      </w:tblGrid>
      <w:tr w:rsidR="00DA46E7">
        <w:tc>
          <w:tcPr>
            <w:tcW w:w="38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DA46E7" w:rsidRDefault="00D467BD">
            <w:r>
              <w:rPr>
                <w:b/>
                <w:bCs/>
                <w:color w:val="FFFFFF"/>
              </w:rPr>
              <w:t>Stage</w:t>
            </w:r>
          </w:p>
        </w:tc>
        <w:tc>
          <w:tcPr>
            <w:tcW w:w="5226"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DA46E7" w:rsidRDefault="00D467BD">
            <w:r>
              <w:rPr>
                <w:b/>
                <w:bCs/>
                <w:color w:val="FFFFFF"/>
              </w:rPr>
              <w:t>Date</w:t>
            </w:r>
          </w:p>
        </w:tc>
      </w:tr>
      <w:tr w:rsidR="00DA46E7">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rPr>
                <w:color w:val="1A1A2E"/>
              </w:rPr>
              <w:t>Draft report issued to employee</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rPr>
                <w:color w:val="1A1A2E"/>
              </w:rPr>
              <w:t>23/02/2026</w:t>
            </w:r>
          </w:p>
        </w:tc>
      </w:tr>
      <w:tr w:rsidR="00DA46E7">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rPr>
                <w:color w:val="1A1A2E"/>
              </w:rPr>
              <w:t>Emp</w:t>
            </w:r>
            <w:r w:rsidR="001F762A">
              <w:rPr>
                <w:color w:val="1A1A2E"/>
              </w:rPr>
              <w:t>loyee review period (AMRA 1988 -</w:t>
            </w:r>
            <w:r>
              <w:rPr>
                <w:color w:val="1A1A2E"/>
              </w:rPr>
              <w:t xml:space="preserve"> 7 calendar days)</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445476">
            <w:r>
              <w:rPr>
                <w:color w:val="1A1A2E"/>
              </w:rPr>
              <w:t>23/02/2026 -</w:t>
            </w:r>
            <w:r w:rsidR="00D467BD">
              <w:rPr>
                <w:color w:val="1A1A2E"/>
              </w:rPr>
              <w:t xml:space="preserve"> 02/03/2026</w:t>
            </w:r>
          </w:p>
        </w:tc>
      </w:tr>
      <w:tr w:rsidR="00DA46E7">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rPr>
                <w:color w:val="1A1A2E"/>
              </w:rPr>
              <w:t>Consent to release confirmed</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445476">
            <w:r>
              <w:rPr>
                <w:color w:val="1A1A2E"/>
              </w:rPr>
              <w:t>Email reply -</w:t>
            </w:r>
            <w:r w:rsidR="00D467BD">
              <w:rPr>
                <w:color w:val="1A1A2E"/>
              </w:rPr>
              <w:t xml:space="preserve"> 01/03/2026</w:t>
            </w:r>
          </w:p>
        </w:tc>
      </w:tr>
      <w:tr w:rsidR="00DA46E7">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rPr>
                <w:color w:val="1A1A2E"/>
              </w:rPr>
              <w:t>Final report issued to employer</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DA46E7" w:rsidRDefault="00D467BD">
            <w:r>
              <w:rPr>
                <w:color w:val="1A1A2E"/>
              </w:rPr>
              <w:t>02/03/2026</w:t>
            </w:r>
          </w:p>
        </w:tc>
      </w:tr>
    </w:tbl>
    <w:p w:rsidR="00DA46E7" w:rsidRDefault="00DA46E7">
      <w:pPr>
        <w:spacing w:before="80"/>
      </w:pPr>
    </w:p>
    <w:p w:rsidR="00DA46E7" w:rsidRDefault="00D467BD">
      <w:pPr>
        <w:spacing w:before="60" w:after="90"/>
      </w:pPr>
      <w:r>
        <w:rPr>
          <w:color w:val="1A1A2E"/>
        </w:rPr>
        <w:t xml:space="preserve">In line with the Access to Medical Reports Act 1988, Helen was given the opportunity to review this report before release and confirmed by email her consent for it to be shared with </w:t>
      </w:r>
      <w:proofErr w:type="spellStart"/>
      <w:r>
        <w:rPr>
          <w:color w:val="1A1A2E"/>
        </w:rPr>
        <w:t>Brightwell</w:t>
      </w:r>
      <w:proofErr w:type="spellEnd"/>
      <w:r>
        <w:rPr>
          <w:color w:val="1A1A2E"/>
        </w:rPr>
        <w:t xml:space="preserve"> Customer Solutions Ltd in its current form. The evidentiary record of this consent is retained in the clinical case file in accordance with </w:t>
      </w:r>
      <w:proofErr w:type="spellStart"/>
      <w:r>
        <w:rPr>
          <w:color w:val="1A1A2E"/>
        </w:rPr>
        <w:t>HealthBridge's</w:t>
      </w:r>
      <w:proofErr w:type="spellEnd"/>
      <w:r>
        <w:rPr>
          <w:color w:val="1A1A2E"/>
        </w:rPr>
        <w:t xml:space="preserve"> Consent Policy.</w:t>
      </w:r>
    </w:p>
    <w:p w:rsidR="00DA46E7" w:rsidRDefault="00DA46E7">
      <w:pPr>
        <w:spacing w:before="140"/>
      </w:pPr>
    </w:p>
    <w:p w:rsidR="00DA46E7" w:rsidRDefault="00D467BD">
      <w:pPr>
        <w:keepNext/>
        <w:spacing w:before="320" w:after="100"/>
      </w:pPr>
      <w:r>
        <w:rPr>
          <w:b/>
          <w:bCs/>
          <w:color w:val="1B3A6B"/>
          <w:sz w:val="24"/>
          <w:szCs w:val="24"/>
        </w:rPr>
        <w:lastRenderedPageBreak/>
        <w:t>Clinician Signature</w:t>
      </w:r>
    </w:p>
    <w:p w:rsidR="00DA46E7" w:rsidRDefault="00DA46E7">
      <w:pPr>
        <w:keepNext/>
        <w:pBdr>
          <w:bottom w:val="single" w:sz="5" w:space="1" w:color="1B3A6B"/>
        </w:pBdr>
        <w:spacing w:before="40" w:after="140"/>
      </w:pPr>
    </w:p>
    <w:p w:rsidR="00445476" w:rsidRDefault="00445476">
      <w:pPr>
        <w:keepNext/>
        <w:spacing w:before="60" w:after="90"/>
        <w:rPr>
          <w:b/>
          <w:bCs/>
          <w:color w:val="1A1A2E"/>
        </w:rPr>
      </w:pPr>
    </w:p>
    <w:p w:rsidR="00DA46E7" w:rsidRDefault="00D467BD">
      <w:pPr>
        <w:keepNext/>
        <w:spacing w:before="60" w:after="90"/>
      </w:pPr>
      <w:r>
        <w:rPr>
          <w:b/>
          <w:bCs/>
          <w:color w:val="1A1A2E"/>
        </w:rPr>
        <w:t>Dr James Stanley</w:t>
      </w:r>
    </w:p>
    <w:p w:rsidR="00DA46E7" w:rsidRDefault="00D467BD">
      <w:pPr>
        <w:keepNext/>
        <w:spacing w:before="60" w:after="90"/>
      </w:pPr>
      <w:r>
        <w:rPr>
          <w:color w:val="1A1A2E"/>
        </w:rPr>
        <w:t>GP providing Occupational Health Services</w:t>
      </w:r>
    </w:p>
    <w:p w:rsidR="00DA46E7" w:rsidRDefault="00445476">
      <w:pPr>
        <w:keepNext/>
        <w:spacing w:before="60" w:after="90"/>
      </w:pPr>
      <w:r>
        <w:rPr>
          <w:noProof/>
          <w:color w:val="1A1A2E"/>
        </w:rPr>
        <w:drawing>
          <wp:anchor distT="0" distB="0" distL="114300" distR="114300" simplePos="0" relativeHeight="251658240" behindDoc="1" locked="0" layoutInCell="1" allowOverlap="1">
            <wp:simplePos x="0" y="0"/>
            <wp:positionH relativeFrom="column">
              <wp:posOffset>2876550</wp:posOffset>
            </wp:positionH>
            <wp:positionV relativeFrom="paragraph">
              <wp:posOffset>-328930</wp:posOffset>
            </wp:positionV>
            <wp:extent cx="1847850" cy="1171575"/>
            <wp:effectExtent l="19050" t="0" r="0" b="0"/>
            <wp:wrapTight wrapText="bothSides">
              <wp:wrapPolygon edited="0">
                <wp:start x="-223" y="0"/>
                <wp:lineTo x="-223" y="21424"/>
                <wp:lineTo x="21600" y="21424"/>
                <wp:lineTo x="21600" y="0"/>
                <wp:lineTo x="-22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847850" cy="1171575"/>
                    </a:xfrm>
                    <a:prstGeom prst="rect">
                      <a:avLst/>
                    </a:prstGeom>
                    <a:noFill/>
                    <a:ln w="9525">
                      <a:noFill/>
                      <a:miter lim="800000"/>
                      <a:headEnd/>
                      <a:tailEnd/>
                    </a:ln>
                  </pic:spPr>
                </pic:pic>
              </a:graphicData>
            </a:graphic>
          </wp:anchor>
        </w:drawing>
      </w:r>
      <w:r w:rsidR="00D467BD">
        <w:rPr>
          <w:color w:val="1A1A2E"/>
        </w:rPr>
        <w:t>GMC Registration No: 7285162</w:t>
      </w:r>
    </w:p>
    <w:p w:rsidR="00DA46E7" w:rsidRDefault="00D467BD">
      <w:pPr>
        <w:keepNext/>
        <w:spacing w:before="60" w:after="90"/>
      </w:pPr>
      <w:r>
        <w:rPr>
          <w:color w:val="1A1A2E"/>
        </w:rPr>
        <w:t>HealthBridge Occupational Health Ltd</w:t>
      </w:r>
    </w:p>
    <w:p w:rsidR="00DA46E7" w:rsidRDefault="00D467BD">
      <w:pPr>
        <w:spacing w:before="60" w:after="90"/>
      </w:pPr>
      <w:r>
        <w:rPr>
          <w:color w:val="1A1A2E"/>
        </w:rPr>
        <w:t>Date: 02/03/2026</w:t>
      </w:r>
    </w:p>
    <w:sectPr w:rsidR="00DA46E7" w:rsidSect="00DA46E7">
      <w:headerReference w:type="default" r:id="rId8"/>
      <w:footerReference w:type="default" r:id="rId9"/>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263" w:rsidRDefault="00C01263" w:rsidP="00DA46E7">
      <w:r>
        <w:separator/>
      </w:r>
    </w:p>
  </w:endnote>
  <w:endnote w:type="continuationSeparator" w:id="0">
    <w:p w:rsidR="00C01263" w:rsidRDefault="00C01263" w:rsidP="00DA46E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6E7" w:rsidRDefault="00D467BD">
    <w:pPr>
      <w:pBdr>
        <w:top w:val="single" w:sz="3" w:space="2" w:color="1B3A6B"/>
      </w:pBdr>
      <w:spacing w:before="100"/>
    </w:pPr>
    <w:r>
      <w:rPr>
        <w:i/>
        <w:iCs/>
        <w:color w:val="6B7280"/>
        <w:sz w:val="13"/>
        <w:szCs w:val="13"/>
      </w:rPr>
      <w:t>This report provides the professional opinion of the assessing GP for occupational health purposes, to inform workplace decisions including fitness for work, adjustments, and (where relevant) capability or disciplinary processes. It is not a medico-legal report prepared for litigation and has not been written to the standard required for use as expert evidence in legal proceedings. Opinions are based on information available at the time of assessment.</w:t>
    </w:r>
  </w:p>
  <w:p w:rsidR="00DA46E7" w:rsidRDefault="00D467BD">
    <w:pPr>
      <w:tabs>
        <w:tab w:val="right" w:pos="9026"/>
      </w:tabs>
      <w:spacing w:before="60"/>
    </w:pPr>
    <w:r>
      <w:rPr>
        <w:color w:val="6B7280"/>
        <w:sz w:val="13"/>
        <w:szCs w:val="13"/>
      </w:rPr>
      <w:t xml:space="preserve">HealthBridge Occupational Health </w:t>
    </w:r>
    <w:proofErr w:type="gramStart"/>
    <w:r>
      <w:rPr>
        <w:color w:val="6B7280"/>
        <w:sz w:val="13"/>
        <w:szCs w:val="13"/>
      </w:rPr>
      <w:t>Ltd  |</w:t>
    </w:r>
    <w:proofErr w:type="gramEnd"/>
    <w:r>
      <w:rPr>
        <w:color w:val="6B7280"/>
        <w:sz w:val="13"/>
        <w:szCs w:val="13"/>
      </w:rPr>
      <w:t xml:space="preserve">  Co. No: </w:t>
    </w:r>
    <w:proofErr w:type="gramStart"/>
    <w:r>
      <w:rPr>
        <w:color w:val="6B7280"/>
        <w:sz w:val="13"/>
        <w:szCs w:val="13"/>
      </w:rPr>
      <w:t>16615396  |</w:t>
    </w:r>
    <w:proofErr w:type="gramEnd"/>
    <w:r>
      <w:rPr>
        <w:color w:val="6B7280"/>
        <w:sz w:val="13"/>
        <w:szCs w:val="13"/>
      </w:rPr>
      <w:t xml:space="preserve">  50 </w:t>
    </w:r>
    <w:proofErr w:type="spellStart"/>
    <w:r>
      <w:rPr>
        <w:color w:val="6B7280"/>
        <w:sz w:val="13"/>
        <w:szCs w:val="13"/>
      </w:rPr>
      <w:t>Hadow</w:t>
    </w:r>
    <w:proofErr w:type="spellEnd"/>
    <w:r>
      <w:rPr>
        <w:color w:val="6B7280"/>
        <w:sz w:val="13"/>
        <w:szCs w:val="13"/>
      </w:rPr>
      <w:t xml:space="preserve"> Way, Gloucester, GL2 4YJ</w:t>
    </w:r>
    <w:r>
      <w:rPr>
        <w:color w:val="6B7280"/>
        <w:sz w:val="13"/>
        <w:szCs w:val="13"/>
      </w:rPr>
      <w:tab/>
      <w:t xml:space="preserve">Page </w:t>
    </w:r>
    <w:r w:rsidR="00FA19F7">
      <w:rPr>
        <w:color w:val="6B7280"/>
        <w:sz w:val="13"/>
        <w:szCs w:val="13"/>
      </w:rPr>
      <w:fldChar w:fldCharType="begin"/>
    </w:r>
    <w:r>
      <w:rPr>
        <w:color w:val="6B7280"/>
        <w:sz w:val="13"/>
        <w:szCs w:val="13"/>
      </w:rPr>
      <w:instrText>PAGE</w:instrText>
    </w:r>
    <w:r w:rsidR="00FA19F7">
      <w:rPr>
        <w:color w:val="6B7280"/>
        <w:sz w:val="13"/>
        <w:szCs w:val="13"/>
      </w:rPr>
      <w:fldChar w:fldCharType="separate"/>
    </w:r>
    <w:r w:rsidR="0095127E">
      <w:rPr>
        <w:noProof/>
        <w:color w:val="6B7280"/>
        <w:sz w:val="13"/>
        <w:szCs w:val="13"/>
      </w:rPr>
      <w:t>2</w:t>
    </w:r>
    <w:r w:rsidR="00FA19F7">
      <w:rPr>
        <w:color w:val="6B7280"/>
        <w:sz w:val="13"/>
        <w:szCs w:val="13"/>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263" w:rsidRDefault="00C01263" w:rsidP="00DA46E7">
      <w:r>
        <w:separator/>
      </w:r>
    </w:p>
  </w:footnote>
  <w:footnote w:type="continuationSeparator" w:id="0">
    <w:p w:rsidR="00C01263" w:rsidRDefault="00C01263" w:rsidP="00DA46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6E7" w:rsidRDefault="00D467BD">
    <w:pPr>
      <w:tabs>
        <w:tab w:val="right" w:pos="9026"/>
      </w:tabs>
      <w:spacing w:after="80"/>
    </w:pPr>
    <w:r>
      <w:rPr>
        <w:color w:val="6B7280"/>
        <w:sz w:val="15"/>
        <w:szCs w:val="15"/>
      </w:rPr>
      <w:t xml:space="preserve">HealthBridge Occupational Health </w:t>
    </w:r>
    <w:proofErr w:type="gramStart"/>
    <w:r>
      <w:rPr>
        <w:color w:val="6B7280"/>
        <w:sz w:val="15"/>
        <w:szCs w:val="15"/>
      </w:rPr>
      <w:t>Ltd  |</w:t>
    </w:r>
    <w:proofErr w:type="gramEnd"/>
    <w:r>
      <w:rPr>
        <w:color w:val="6B7280"/>
        <w:sz w:val="15"/>
        <w:szCs w:val="15"/>
      </w:rPr>
      <w:t xml:space="preserve">  Dr James Stanley (GMC: 7285162)</w:t>
    </w:r>
    <w:r>
      <w:rPr>
        <w:b/>
        <w:bCs/>
        <w:color w:val="1B3A6B"/>
        <w:sz w:val="15"/>
        <w:szCs w:val="15"/>
      </w:rPr>
      <w:tab/>
      <w:t>CONFIDENTIAL</w:t>
    </w:r>
  </w:p>
  <w:p w:rsidR="00DA46E7" w:rsidRDefault="00DA46E7">
    <w:pPr>
      <w:pBdr>
        <w:bottom w:val="single" w:sz="5"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2CE8"/>
    <w:multiLevelType w:val="hybridMultilevel"/>
    <w:tmpl w:val="007CEB74"/>
    <w:lvl w:ilvl="0" w:tplc="5D60A13C">
      <w:start w:val="1"/>
      <w:numFmt w:val="bullet"/>
      <w:lvlText w:val="•"/>
      <w:lvlJc w:val="left"/>
      <w:pPr>
        <w:ind w:left="320" w:hanging="320"/>
      </w:pPr>
    </w:lvl>
    <w:lvl w:ilvl="1" w:tplc="1EECC6D4">
      <w:numFmt w:val="decimal"/>
      <w:lvlText w:val=""/>
      <w:lvlJc w:val="left"/>
    </w:lvl>
    <w:lvl w:ilvl="2" w:tplc="6114D0C0">
      <w:numFmt w:val="decimal"/>
      <w:lvlText w:val=""/>
      <w:lvlJc w:val="left"/>
    </w:lvl>
    <w:lvl w:ilvl="3" w:tplc="FB9633F8">
      <w:numFmt w:val="decimal"/>
      <w:lvlText w:val=""/>
      <w:lvlJc w:val="left"/>
    </w:lvl>
    <w:lvl w:ilvl="4" w:tplc="2C9A8398">
      <w:numFmt w:val="decimal"/>
      <w:lvlText w:val=""/>
      <w:lvlJc w:val="left"/>
    </w:lvl>
    <w:lvl w:ilvl="5" w:tplc="065076D4">
      <w:numFmt w:val="decimal"/>
      <w:lvlText w:val=""/>
      <w:lvlJc w:val="left"/>
    </w:lvl>
    <w:lvl w:ilvl="6" w:tplc="1C76270E">
      <w:numFmt w:val="decimal"/>
      <w:lvlText w:val=""/>
      <w:lvlJc w:val="left"/>
    </w:lvl>
    <w:lvl w:ilvl="7" w:tplc="AA3AEDB4">
      <w:numFmt w:val="decimal"/>
      <w:lvlText w:val=""/>
      <w:lvlJc w:val="left"/>
    </w:lvl>
    <w:lvl w:ilvl="8" w:tplc="AC4A3738">
      <w:numFmt w:val="decimal"/>
      <w:lvlText w:val=""/>
      <w:lvlJc w:val="left"/>
    </w:lvl>
  </w:abstractNum>
  <w:abstractNum w:abstractNumId="1">
    <w:nsid w:val="05F4046E"/>
    <w:multiLevelType w:val="hybridMultilevel"/>
    <w:tmpl w:val="25EC2B06"/>
    <w:lvl w:ilvl="0" w:tplc="D35E7BDE">
      <w:start w:val="1"/>
      <w:numFmt w:val="bullet"/>
      <w:lvlText w:val="●"/>
      <w:lvlJc w:val="left"/>
      <w:pPr>
        <w:ind w:left="720" w:hanging="360"/>
      </w:pPr>
    </w:lvl>
    <w:lvl w:ilvl="1" w:tplc="66D0B37C">
      <w:start w:val="1"/>
      <w:numFmt w:val="bullet"/>
      <w:lvlText w:val="○"/>
      <w:lvlJc w:val="left"/>
      <w:pPr>
        <w:ind w:left="1440" w:hanging="360"/>
      </w:pPr>
    </w:lvl>
    <w:lvl w:ilvl="2" w:tplc="1BA02340">
      <w:start w:val="1"/>
      <w:numFmt w:val="bullet"/>
      <w:lvlText w:val="■"/>
      <w:lvlJc w:val="left"/>
      <w:pPr>
        <w:ind w:left="2160" w:hanging="360"/>
      </w:pPr>
    </w:lvl>
    <w:lvl w:ilvl="3" w:tplc="C2FCD4A6">
      <w:start w:val="1"/>
      <w:numFmt w:val="bullet"/>
      <w:lvlText w:val="●"/>
      <w:lvlJc w:val="left"/>
      <w:pPr>
        <w:ind w:left="2880" w:hanging="360"/>
      </w:pPr>
    </w:lvl>
    <w:lvl w:ilvl="4" w:tplc="5DA26DAA">
      <w:start w:val="1"/>
      <w:numFmt w:val="bullet"/>
      <w:lvlText w:val="○"/>
      <w:lvlJc w:val="left"/>
      <w:pPr>
        <w:ind w:left="3600" w:hanging="360"/>
      </w:pPr>
    </w:lvl>
    <w:lvl w:ilvl="5" w:tplc="97DC40C2">
      <w:start w:val="1"/>
      <w:numFmt w:val="bullet"/>
      <w:lvlText w:val="■"/>
      <w:lvlJc w:val="left"/>
      <w:pPr>
        <w:ind w:left="4320" w:hanging="360"/>
      </w:pPr>
    </w:lvl>
    <w:lvl w:ilvl="6" w:tplc="A3009E6A">
      <w:start w:val="1"/>
      <w:numFmt w:val="bullet"/>
      <w:lvlText w:val="●"/>
      <w:lvlJc w:val="left"/>
      <w:pPr>
        <w:ind w:left="5040" w:hanging="360"/>
      </w:pPr>
    </w:lvl>
    <w:lvl w:ilvl="7" w:tplc="D9B0EDF2">
      <w:start w:val="1"/>
      <w:numFmt w:val="bullet"/>
      <w:lvlText w:val="●"/>
      <w:lvlJc w:val="left"/>
      <w:pPr>
        <w:ind w:left="5760" w:hanging="360"/>
      </w:pPr>
    </w:lvl>
    <w:lvl w:ilvl="8" w:tplc="1A64B116">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DA46E7"/>
    <w:rsid w:val="001F762A"/>
    <w:rsid w:val="00253E05"/>
    <w:rsid w:val="0040511A"/>
    <w:rsid w:val="00445476"/>
    <w:rsid w:val="0095127E"/>
    <w:rsid w:val="00A60655"/>
    <w:rsid w:val="00C01263"/>
    <w:rsid w:val="00C54237"/>
    <w:rsid w:val="00D467BD"/>
    <w:rsid w:val="00DA46E7"/>
    <w:rsid w:val="00E95C2E"/>
    <w:rsid w:val="00FA19F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19"/>
        <w:szCs w:val="19"/>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C2E"/>
  </w:style>
  <w:style w:type="paragraph" w:styleId="Heading1">
    <w:name w:val="heading 1"/>
    <w:qFormat/>
    <w:rsid w:val="00DA46E7"/>
    <w:pPr>
      <w:outlineLvl w:val="0"/>
    </w:pPr>
    <w:rPr>
      <w:color w:val="2E74B5"/>
      <w:sz w:val="32"/>
      <w:szCs w:val="32"/>
    </w:rPr>
  </w:style>
  <w:style w:type="paragraph" w:styleId="Heading2">
    <w:name w:val="heading 2"/>
    <w:qFormat/>
    <w:rsid w:val="00DA46E7"/>
    <w:pPr>
      <w:outlineLvl w:val="1"/>
    </w:pPr>
    <w:rPr>
      <w:color w:val="2E74B5"/>
      <w:sz w:val="26"/>
      <w:szCs w:val="26"/>
    </w:rPr>
  </w:style>
  <w:style w:type="paragraph" w:styleId="Heading3">
    <w:name w:val="heading 3"/>
    <w:qFormat/>
    <w:rsid w:val="00DA46E7"/>
    <w:pPr>
      <w:outlineLvl w:val="2"/>
    </w:pPr>
    <w:rPr>
      <w:color w:val="1F4D78"/>
      <w:sz w:val="24"/>
      <w:szCs w:val="24"/>
    </w:rPr>
  </w:style>
  <w:style w:type="paragraph" w:styleId="Heading4">
    <w:name w:val="heading 4"/>
    <w:qFormat/>
    <w:rsid w:val="00DA46E7"/>
    <w:pPr>
      <w:outlineLvl w:val="3"/>
    </w:pPr>
    <w:rPr>
      <w:i/>
      <w:iCs/>
      <w:color w:val="2E74B5"/>
    </w:rPr>
  </w:style>
  <w:style w:type="paragraph" w:styleId="Heading5">
    <w:name w:val="heading 5"/>
    <w:qFormat/>
    <w:rsid w:val="00DA46E7"/>
    <w:pPr>
      <w:outlineLvl w:val="4"/>
    </w:pPr>
    <w:rPr>
      <w:color w:val="2E74B5"/>
    </w:rPr>
  </w:style>
  <w:style w:type="paragraph" w:styleId="Heading6">
    <w:name w:val="heading 6"/>
    <w:qFormat/>
    <w:rsid w:val="00DA46E7"/>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DA46E7"/>
    <w:rPr>
      <w:sz w:val="56"/>
      <w:szCs w:val="56"/>
    </w:rPr>
  </w:style>
  <w:style w:type="paragraph" w:customStyle="1" w:styleId="Strong1">
    <w:name w:val="Strong1"/>
    <w:qFormat/>
    <w:rsid w:val="00DA46E7"/>
    <w:rPr>
      <w:b/>
      <w:bCs/>
    </w:rPr>
  </w:style>
  <w:style w:type="paragraph" w:styleId="ListParagraph">
    <w:name w:val="List Paragraph"/>
    <w:qFormat/>
    <w:rsid w:val="00DA46E7"/>
  </w:style>
  <w:style w:type="character" w:styleId="Hyperlink">
    <w:name w:val="Hyperlink"/>
    <w:uiPriority w:val="99"/>
    <w:unhideWhenUsed/>
    <w:rsid w:val="00DA46E7"/>
    <w:rPr>
      <w:color w:val="0563C1"/>
      <w:u w:val="single"/>
    </w:rPr>
  </w:style>
  <w:style w:type="character" w:styleId="FootnoteReference">
    <w:name w:val="footnote reference"/>
    <w:uiPriority w:val="99"/>
    <w:semiHidden/>
    <w:unhideWhenUsed/>
    <w:rsid w:val="00DA46E7"/>
    <w:rPr>
      <w:vertAlign w:val="superscript"/>
    </w:rPr>
  </w:style>
  <w:style w:type="paragraph" w:styleId="FootnoteText">
    <w:name w:val="footnote text"/>
    <w:link w:val="FootnoteTextChar"/>
    <w:uiPriority w:val="99"/>
    <w:semiHidden/>
    <w:unhideWhenUsed/>
    <w:rsid w:val="00DA46E7"/>
    <w:rPr>
      <w:sz w:val="20"/>
      <w:szCs w:val="20"/>
    </w:rPr>
  </w:style>
  <w:style w:type="character" w:customStyle="1" w:styleId="FootnoteTextChar">
    <w:name w:val="Footnote Text Char"/>
    <w:link w:val="FootnoteText"/>
    <w:uiPriority w:val="99"/>
    <w:semiHidden/>
    <w:unhideWhenUsed/>
    <w:rsid w:val="00DA46E7"/>
    <w:rPr>
      <w:sz w:val="20"/>
      <w:szCs w:val="20"/>
    </w:rPr>
  </w:style>
  <w:style w:type="character" w:styleId="EndnoteReference">
    <w:name w:val="endnote reference"/>
    <w:uiPriority w:val="99"/>
    <w:semiHidden/>
    <w:unhideWhenUsed/>
    <w:rsid w:val="00DA46E7"/>
    <w:rPr>
      <w:vertAlign w:val="superscript"/>
    </w:rPr>
  </w:style>
  <w:style w:type="paragraph" w:styleId="EndnoteText">
    <w:name w:val="endnote text"/>
    <w:link w:val="EndnoteTextChar"/>
    <w:uiPriority w:val="99"/>
    <w:semiHidden/>
    <w:unhideWhenUsed/>
    <w:rsid w:val="00DA46E7"/>
    <w:rPr>
      <w:sz w:val="20"/>
      <w:szCs w:val="20"/>
    </w:rPr>
  </w:style>
  <w:style w:type="character" w:customStyle="1" w:styleId="EndnoteTextChar">
    <w:name w:val="Endnote Text Char"/>
    <w:link w:val="EndnoteText"/>
    <w:uiPriority w:val="99"/>
    <w:semiHidden/>
    <w:unhideWhenUsed/>
    <w:rsid w:val="00DA46E7"/>
    <w:rPr>
      <w:sz w:val="20"/>
      <w:szCs w:val="20"/>
    </w:rPr>
  </w:style>
  <w:style w:type="paragraph" w:styleId="BalloonText">
    <w:name w:val="Balloon Text"/>
    <w:basedOn w:val="Normal"/>
    <w:link w:val="BalloonTextChar"/>
    <w:uiPriority w:val="99"/>
    <w:semiHidden/>
    <w:unhideWhenUsed/>
    <w:rsid w:val="00445476"/>
    <w:rPr>
      <w:rFonts w:ascii="Tahoma" w:hAnsi="Tahoma" w:cs="Tahoma"/>
      <w:sz w:val="16"/>
      <w:szCs w:val="16"/>
    </w:rPr>
  </w:style>
  <w:style w:type="character" w:customStyle="1" w:styleId="BalloonTextChar">
    <w:name w:val="Balloon Text Char"/>
    <w:basedOn w:val="DefaultParagraphFont"/>
    <w:link w:val="BalloonText"/>
    <w:uiPriority w:val="99"/>
    <w:semiHidden/>
    <w:rsid w:val="004454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1577</Words>
  <Characters>8994</Characters>
  <Application>Microsoft Office Word</Application>
  <DocSecurity>0</DocSecurity>
  <Lines>74</Lines>
  <Paragraphs>21</Paragraphs>
  <ScaleCrop>false</ScaleCrop>
  <Company>Grizli777</Company>
  <LinksUpToDate>false</LinksUpToDate>
  <CharactersWithSpaces>10550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2026-06-22T07:40:00Z</dcterms:created>
  <dcterms:modified xsi:type="dcterms:W3CDTF">2026-06-22T07:40:00Z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