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10F" w:rsidRDefault="0071119B">
      <w:pPr>
        <w:spacing w:before="100" w:after="40"/>
      </w:pPr>
      <w:r>
        <w:rPr>
          <w:b/>
          <w:bCs/>
          <w:color w:val="1B3A6B"/>
          <w:sz w:val="30"/>
          <w:szCs w:val="30"/>
        </w:rPr>
        <w:t>HEALTHBRIDGE OCCUPATIONAL HEALTH</w:t>
      </w:r>
    </w:p>
    <w:p w:rsidR="006D610F" w:rsidRDefault="0071119B">
      <w:pPr>
        <w:spacing w:after="60"/>
      </w:pPr>
      <w:r>
        <w:rPr>
          <w:b/>
          <w:bCs/>
          <w:color w:val="1B3A6B"/>
          <w:sz w:val="24"/>
          <w:szCs w:val="24"/>
        </w:rPr>
        <w:t>Occupational Health Assessment Report</w:t>
      </w:r>
    </w:p>
    <w:p w:rsidR="006D610F" w:rsidRDefault="0036002E">
      <w:pPr>
        <w:pBdr>
          <w:bottom w:val="thick" w:sz="10" w:space="3" w:color="1B3A6B"/>
        </w:pBdr>
        <w:spacing w:after="160"/>
      </w:pPr>
      <w:r>
        <w:rPr>
          <w:b/>
          <w:bCs/>
          <w:color w:val="6B7280"/>
          <w:sz w:val="18"/>
          <w:szCs w:val="18"/>
        </w:rPr>
        <w:t>CONFIDENTIAL -</w:t>
      </w:r>
      <w:r w:rsidR="0071119B">
        <w:rPr>
          <w:b/>
          <w:bCs/>
          <w:color w:val="6B7280"/>
          <w:sz w:val="18"/>
          <w:szCs w:val="18"/>
        </w:rPr>
        <w:t xml:space="preserve"> Occupational Health Use Only</w:t>
      </w:r>
    </w:p>
    <w:p w:rsidR="006D610F" w:rsidRDefault="006D610F">
      <w:pPr>
        <w:spacing w:before="8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Employee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t>Liam T.</w:t>
            </w:r>
          </w:p>
        </w:tc>
      </w:tr>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Date of Birth</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t>03/11/1994</w:t>
            </w:r>
          </w:p>
        </w:tc>
      </w:tr>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Employer</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proofErr w:type="spellStart"/>
            <w:r>
              <w:t>Castlefield</w:t>
            </w:r>
            <w:proofErr w:type="spellEnd"/>
            <w:r>
              <w:t xml:space="preserve"> Logistics Ltd</w:t>
            </w:r>
          </w:p>
        </w:tc>
      </w:tr>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Role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t>Data Analyst, Supply Chain Reporting Team</w:t>
            </w:r>
          </w:p>
        </w:tc>
      </w:tr>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Assessment Date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t>02/02/2026</w:t>
            </w:r>
          </w:p>
        </w:tc>
      </w:tr>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Assessment Type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t>Remote Consultation (Video)</w:t>
            </w:r>
          </w:p>
        </w:tc>
      </w:tr>
      <w:tr w:rsidR="006D610F">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Clinician</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t>Dr James Stanley, GP providing Occupational Health Services (GMC: 7285162)</w:t>
            </w:r>
          </w:p>
        </w:tc>
      </w:tr>
    </w:tbl>
    <w:p w:rsidR="006D610F" w:rsidRDefault="006D610F">
      <w:pPr>
        <w:spacing w:before="140"/>
      </w:pPr>
    </w:p>
    <w:p w:rsidR="006D610F" w:rsidRDefault="0071119B">
      <w:pPr>
        <w:keepNext/>
        <w:spacing w:before="320" w:after="100"/>
      </w:pPr>
      <w:r>
        <w:rPr>
          <w:b/>
          <w:bCs/>
          <w:color w:val="1B3A6B"/>
          <w:sz w:val="24"/>
          <w:szCs w:val="24"/>
        </w:rPr>
        <w:t>1.  Reason for Referral</w:t>
      </w:r>
    </w:p>
    <w:p w:rsidR="006D610F" w:rsidRDefault="006D610F">
      <w:pPr>
        <w:keepNext/>
        <w:pBdr>
          <w:bottom w:val="single" w:sz="5" w:space="1" w:color="1B3A6B"/>
        </w:pBdr>
        <w:spacing w:before="40" w:after="140"/>
      </w:pPr>
    </w:p>
    <w:p w:rsidR="006D610F" w:rsidRDefault="0071119B">
      <w:pPr>
        <w:spacing w:before="60" w:after="90"/>
      </w:pPr>
      <w:r>
        <w:rPr>
          <w:color w:val="1A1A2E"/>
        </w:rPr>
        <w:t>Liam was referred after his manager raised concerns about missed reporting deadlines, difficulty prioritising tasks, and disorganisation over the past two quarters, in the context of an ongoing informal capability conversation. Liam has recently disclosed that he is undergoing a private assessment for suspected ADHD and has asked his employer to pause any formal process until this is complete. The employer is seeking advice on whether the capability process should be paused, what interim support might help, and how to approach this pending a formal diagnostic outcome.</w:t>
      </w:r>
    </w:p>
    <w:p w:rsidR="006D610F" w:rsidRDefault="006D610F">
      <w:pPr>
        <w:spacing w:before="120"/>
      </w:pPr>
    </w:p>
    <w:p w:rsidR="006D610F" w:rsidRDefault="0071119B">
      <w:pPr>
        <w:keepNext/>
        <w:spacing w:before="320" w:after="100"/>
      </w:pPr>
      <w:r>
        <w:rPr>
          <w:b/>
          <w:bCs/>
          <w:color w:val="1B3A6B"/>
          <w:sz w:val="24"/>
          <w:szCs w:val="24"/>
        </w:rPr>
        <w:t>2.  Specific Questions Addressed (as Agreed with the Referring Employer)</w:t>
      </w:r>
    </w:p>
    <w:p w:rsidR="006D610F" w:rsidRDefault="006D610F">
      <w:pPr>
        <w:keepNext/>
        <w:pBdr>
          <w:bottom w:val="single" w:sz="5" w:space="1" w:color="1B3A6B"/>
        </w:pBdr>
        <w:spacing w:before="40" w:after="140"/>
      </w:pPr>
    </w:p>
    <w:p w:rsidR="006D610F" w:rsidRPr="008770F9" w:rsidRDefault="0071119B">
      <w:pPr>
        <w:pStyle w:val="ListParagraph"/>
        <w:numPr>
          <w:ilvl w:val="0"/>
          <w:numId w:val="2"/>
        </w:numPr>
        <w:spacing w:before="30" w:after="30"/>
      </w:pPr>
      <w:r>
        <w:rPr>
          <w:b/>
          <w:bCs/>
          <w:color w:val="1A1A2E"/>
        </w:rPr>
        <w:t>Q1: Should the informal capability process be paused pending the outcome of Liam's ADHD assessment, or can it reasonably continue in parallel?</w:t>
      </w:r>
    </w:p>
    <w:p w:rsidR="008770F9" w:rsidRDefault="008770F9" w:rsidP="008770F9">
      <w:pPr>
        <w:pStyle w:val="ListParagraph"/>
        <w:spacing w:before="30" w:after="30"/>
        <w:ind w:left="320"/>
      </w:pPr>
    </w:p>
    <w:p w:rsidR="006D610F" w:rsidRDefault="0071119B">
      <w:pPr>
        <w:spacing w:before="60" w:after="90"/>
      </w:pPr>
      <w:r>
        <w:rPr>
          <w:color w:val="1A1A2E"/>
        </w:rPr>
        <w:t>A1: I would recommend pausing any formal escalation of the capability process until the assessment outcome is known, while continuing informal, supportive performance conversations in the meanti</w:t>
      </w:r>
      <w:r w:rsidR="008770F9">
        <w:rPr>
          <w:color w:val="1A1A2E"/>
        </w:rPr>
        <w:t>me. The difficulties described :</w:t>
      </w:r>
      <w:r>
        <w:rPr>
          <w:color w:val="1A1A2E"/>
        </w:rPr>
        <w:t xml:space="preserve"> prioritisation, t</w:t>
      </w:r>
      <w:r w:rsidR="008770F9">
        <w:rPr>
          <w:color w:val="1A1A2E"/>
        </w:rPr>
        <w:t>ime-management, task-switching,</w:t>
      </w:r>
      <w:r>
        <w:rPr>
          <w:color w:val="1A1A2E"/>
        </w:rPr>
        <w:t xml:space="preserve"> are core features of ADHD-type presentations, and proceeding to formal capability action before establishing whether an underlying condition is contributing risks the process being unfair, and potentially discriminatory if a diagnosis is later confirmed.</w:t>
      </w:r>
    </w:p>
    <w:p w:rsidR="006D610F" w:rsidRDefault="006D610F">
      <w:pPr>
        <w:spacing w:before="120"/>
      </w:pPr>
    </w:p>
    <w:p w:rsidR="006D610F" w:rsidRPr="008770F9" w:rsidRDefault="0071119B">
      <w:pPr>
        <w:pStyle w:val="ListParagraph"/>
        <w:numPr>
          <w:ilvl w:val="0"/>
          <w:numId w:val="2"/>
        </w:numPr>
        <w:spacing w:before="30" w:after="30"/>
      </w:pPr>
      <w:r>
        <w:rPr>
          <w:b/>
          <w:bCs/>
          <w:color w:val="1A1A2E"/>
        </w:rPr>
        <w:t>Q2: Does Liam need a formal diagnosis before reasonable adjustments can be considered under the Equality Act 2010?</w:t>
      </w:r>
    </w:p>
    <w:p w:rsidR="008770F9" w:rsidRDefault="008770F9" w:rsidP="008770F9">
      <w:pPr>
        <w:pStyle w:val="ListParagraph"/>
        <w:spacing w:before="30" w:after="30"/>
        <w:ind w:left="320"/>
      </w:pPr>
    </w:p>
    <w:p w:rsidR="006D610F" w:rsidRDefault="0071119B">
      <w:pPr>
        <w:spacing w:before="60" w:after="90"/>
      </w:pPr>
      <w:r>
        <w:rPr>
          <w:color w:val="1A1A2E"/>
        </w:rPr>
        <w:t>A2: No. The Act does not require a formal diagnosis; what matters is whether Liam has, or is treated as having, an impairment with a substantial and long-term adverse effect on day-to-day activities (see Section 6). On the information available, it is reasonable to begin considering practical adjustments now, ahead of formal diagnostic confirmation.</w:t>
      </w:r>
    </w:p>
    <w:p w:rsidR="006D610F" w:rsidRDefault="006D610F">
      <w:pPr>
        <w:spacing w:before="120"/>
      </w:pPr>
    </w:p>
    <w:p w:rsidR="006D610F" w:rsidRPr="008770F9" w:rsidRDefault="0071119B">
      <w:pPr>
        <w:pStyle w:val="ListParagraph"/>
        <w:numPr>
          <w:ilvl w:val="0"/>
          <w:numId w:val="2"/>
        </w:numPr>
        <w:spacing w:before="30" w:after="30"/>
      </w:pPr>
      <w:r>
        <w:rPr>
          <w:b/>
          <w:bCs/>
          <w:color w:val="1A1A2E"/>
        </w:rPr>
        <w:t>Q3: What interim support would you recommend while the assessment is pending?</w:t>
      </w:r>
    </w:p>
    <w:p w:rsidR="008770F9" w:rsidRDefault="008770F9" w:rsidP="008770F9">
      <w:pPr>
        <w:pStyle w:val="ListParagraph"/>
        <w:spacing w:before="30" w:after="30"/>
        <w:ind w:left="320"/>
      </w:pPr>
    </w:p>
    <w:p w:rsidR="006D610F" w:rsidRDefault="0071119B">
      <w:pPr>
        <w:spacing w:before="60" w:after="90"/>
      </w:pPr>
      <w:r>
        <w:rPr>
          <w:color w:val="1A1A2E"/>
        </w:rPr>
        <w:t>A3: See Section 8 for the specific recommendations.</w:t>
      </w:r>
    </w:p>
    <w:p w:rsidR="006D610F" w:rsidRDefault="006D610F">
      <w:pPr>
        <w:spacing w:before="120"/>
      </w:pPr>
    </w:p>
    <w:p w:rsidR="006D610F" w:rsidRDefault="0071119B">
      <w:pPr>
        <w:keepNext/>
        <w:spacing w:before="320" w:after="100"/>
      </w:pPr>
      <w:r>
        <w:rPr>
          <w:b/>
          <w:bCs/>
          <w:color w:val="1B3A6B"/>
          <w:sz w:val="24"/>
          <w:szCs w:val="24"/>
        </w:rPr>
        <w:t>3.  Role and Employment Context</w:t>
      </w:r>
    </w:p>
    <w:p w:rsidR="006D610F" w:rsidRDefault="006D610F">
      <w:pPr>
        <w:keepNext/>
        <w:pBdr>
          <w:bottom w:val="single" w:sz="5" w:space="1" w:color="1B3A6B"/>
        </w:pBdr>
        <w:spacing w:before="40" w:after="140"/>
      </w:pPr>
    </w:p>
    <w:p w:rsidR="006D610F" w:rsidRDefault="0071119B">
      <w:pPr>
        <w:pStyle w:val="ListParagraph"/>
        <w:numPr>
          <w:ilvl w:val="0"/>
          <w:numId w:val="2"/>
        </w:numPr>
        <w:spacing w:before="30" w:after="30"/>
      </w:pPr>
      <w:r>
        <w:rPr>
          <w:color w:val="1A1A2E"/>
        </w:rPr>
        <w:t>Full-time, 37 hours per week, hybrid: typically two days in the office and three days working from home.</w:t>
      </w:r>
    </w:p>
    <w:p w:rsidR="006D610F" w:rsidRDefault="0071119B">
      <w:pPr>
        <w:pStyle w:val="ListParagraph"/>
        <w:numPr>
          <w:ilvl w:val="0"/>
          <w:numId w:val="2"/>
        </w:numPr>
        <w:spacing w:before="30" w:after="30"/>
      </w:pPr>
      <w:r>
        <w:rPr>
          <w:color w:val="1A1A2E"/>
        </w:rPr>
        <w:t>Two years and four months in post; reports to the Supply Chain Reporting Team Lead.</w:t>
      </w:r>
    </w:p>
    <w:p w:rsidR="006D610F" w:rsidRDefault="0071119B">
      <w:pPr>
        <w:pStyle w:val="ListParagraph"/>
        <w:numPr>
          <w:ilvl w:val="0"/>
          <w:numId w:val="2"/>
        </w:numPr>
        <w:spacing w:before="30" w:after="30"/>
      </w:pPr>
      <w:r>
        <w:rPr>
          <w:color w:val="1A1A2E"/>
        </w:rPr>
        <w:t>Core duties: compiling and maintaining recurring supply chain performance reports, responding to ad hoc data requests from multiple stakeholders, and attending several weekly status meetings.</w:t>
      </w:r>
    </w:p>
    <w:p w:rsidR="006D610F" w:rsidRDefault="0071119B">
      <w:pPr>
        <w:pStyle w:val="ListParagraph"/>
        <w:numPr>
          <w:ilvl w:val="0"/>
          <w:numId w:val="2"/>
        </w:numPr>
        <w:spacing w:before="30" w:after="30"/>
      </w:pPr>
      <w:r>
        <w:rPr>
          <w:color w:val="1A1A2E"/>
        </w:rPr>
        <w:t>Previous OH involvement: this is Liam's first referral to HealthBridge; no formal occupational health adjustments are currently in place. An informal, undocumented arrangement allowing him to flex his start time by up to 30 minutes has been in place for around six weeks at his manager's discretion.</w:t>
      </w:r>
    </w:p>
    <w:p w:rsidR="006D610F" w:rsidRDefault="006D610F">
      <w:pPr>
        <w:spacing w:before="120"/>
      </w:pPr>
    </w:p>
    <w:p w:rsidR="006D610F" w:rsidRDefault="0071119B">
      <w:pPr>
        <w:keepNext/>
        <w:spacing w:before="320" w:after="100"/>
      </w:pPr>
      <w:r>
        <w:rPr>
          <w:b/>
          <w:bCs/>
          <w:color w:val="1B3A6B"/>
          <w:sz w:val="24"/>
          <w:szCs w:val="24"/>
        </w:rPr>
        <w:t>4.  Medical Summary (As Disclosed by Employee)</w:t>
      </w:r>
    </w:p>
    <w:p w:rsidR="006D610F" w:rsidRDefault="006D610F">
      <w:pPr>
        <w:keepNext/>
        <w:pBdr>
          <w:bottom w:val="single" w:sz="5" w:space="1" w:color="1B3A6B"/>
        </w:pBdr>
        <w:spacing w:before="40" w:after="140"/>
      </w:pPr>
    </w:p>
    <w:p w:rsidR="006D610F" w:rsidRDefault="0071119B">
      <w:pPr>
        <w:pStyle w:val="ListParagraph"/>
        <w:numPr>
          <w:ilvl w:val="0"/>
          <w:numId w:val="2"/>
        </w:numPr>
        <w:spacing w:before="30" w:after="30"/>
      </w:pPr>
      <w:r>
        <w:rPr>
          <w:color w:val="1A1A2E"/>
        </w:rPr>
        <w:t>Liam describes a long-standing pattern, going back to school, of difficulty sustaining attention on tasks he finds repetitive, losing track of multiple priorities, and underestimating how long tasks will take.</w:t>
      </w:r>
    </w:p>
    <w:p w:rsidR="006D610F" w:rsidRDefault="0071119B">
      <w:pPr>
        <w:pStyle w:val="ListParagraph"/>
        <w:numPr>
          <w:ilvl w:val="0"/>
          <w:numId w:val="2"/>
        </w:numPr>
        <w:spacing w:before="30" w:after="30"/>
      </w:pPr>
      <w:r>
        <w:rPr>
          <w:color w:val="1A1A2E"/>
        </w:rPr>
        <w:t xml:space="preserve">Over the past two quarters these difficulties have become more pronounced, coinciding with an increase in the number of concurrent reporting </w:t>
      </w:r>
      <w:proofErr w:type="spellStart"/>
      <w:r>
        <w:rPr>
          <w:color w:val="1A1A2E"/>
        </w:rPr>
        <w:t>workstreams</w:t>
      </w:r>
      <w:proofErr w:type="spellEnd"/>
      <w:r>
        <w:rPr>
          <w:color w:val="1A1A2E"/>
        </w:rPr>
        <w:t xml:space="preserve"> he is responsible for.</w:t>
      </w:r>
    </w:p>
    <w:p w:rsidR="006D610F" w:rsidRDefault="0071119B">
      <w:pPr>
        <w:pStyle w:val="ListParagraph"/>
        <w:numPr>
          <w:ilvl w:val="0"/>
          <w:numId w:val="2"/>
        </w:numPr>
        <w:spacing w:before="30" w:after="30"/>
      </w:pPr>
      <w:r>
        <w:rPr>
          <w:color w:val="1A1A2E"/>
        </w:rPr>
        <w:t>He has self-referred for a private ADHD assessment; an initial screening appointment has taken place, and a provisional clinical impression of combined-type ADHD has been given by the assessing psychiatrist, with a full diagnostic report expected within</w:t>
      </w:r>
      <w:r w:rsidR="008770F9">
        <w:rPr>
          <w:color w:val="1A1A2E"/>
        </w:rPr>
        <w:t xml:space="preserve"> 6-</w:t>
      </w:r>
      <w:r>
        <w:rPr>
          <w:color w:val="1A1A2E"/>
        </w:rPr>
        <w:t>8 weeks.</w:t>
      </w:r>
    </w:p>
    <w:p w:rsidR="006D610F" w:rsidRDefault="0071119B">
      <w:pPr>
        <w:pStyle w:val="ListParagraph"/>
        <w:numPr>
          <w:ilvl w:val="0"/>
          <w:numId w:val="2"/>
        </w:numPr>
        <w:spacing w:before="30" w:after="30"/>
      </w:pPr>
      <w:r>
        <w:rPr>
          <w:color w:val="1A1A2E"/>
        </w:rPr>
        <w:t>No formal mental health diagnosis prior to this. He describes secondary frustration and a dip in confidence linked to the recent performance concerns, but denies symptoms of a depressive episode, an anxiety disorder, or any safety-relevant risk.</w:t>
      </w:r>
    </w:p>
    <w:p w:rsidR="006D610F" w:rsidRDefault="0071119B">
      <w:pPr>
        <w:pStyle w:val="ListParagraph"/>
        <w:numPr>
          <w:ilvl w:val="0"/>
          <w:numId w:val="2"/>
        </w:numPr>
        <w:spacing w:before="30" w:after="30"/>
      </w:pPr>
      <w:r>
        <w:rPr>
          <w:color w:val="1A1A2E"/>
        </w:rPr>
        <w:t>Sleep and appetite are unaffected. No medication is currently prescribed; Liam has discussed stimulant medication with the assessing psychiatrist as a possible future option once diagnosis is confirmed, but is not currently taking anything.</w:t>
      </w:r>
    </w:p>
    <w:p w:rsidR="006D610F" w:rsidRDefault="0071119B">
      <w:pPr>
        <w:pStyle w:val="ListParagraph"/>
        <w:numPr>
          <w:ilvl w:val="0"/>
          <w:numId w:val="2"/>
        </w:numPr>
        <w:spacing w:before="30" w:after="30"/>
      </w:pPr>
      <w:r>
        <w:rPr>
          <w:color w:val="1A1A2E"/>
        </w:rPr>
        <w:t>Liam's own view: he wants to remain in his current role and feels that, with some practical changes, he could manage his workload effectively. He is anxious that, without an explanation, his recent performance dip looks like a lack of effort rather than a difficulty he has lived with all his life.</w:t>
      </w:r>
    </w:p>
    <w:p w:rsidR="006D610F" w:rsidRDefault="006D610F">
      <w:pPr>
        <w:spacing w:before="120"/>
      </w:pPr>
    </w:p>
    <w:p w:rsidR="006D610F" w:rsidRDefault="0071119B">
      <w:pPr>
        <w:keepNext/>
        <w:spacing w:before="320" w:after="100"/>
      </w:pPr>
      <w:r>
        <w:rPr>
          <w:b/>
          <w:bCs/>
          <w:color w:val="1B3A6B"/>
          <w:sz w:val="24"/>
          <w:szCs w:val="24"/>
        </w:rPr>
        <w:t>5.  Functional Assessment</w:t>
      </w:r>
    </w:p>
    <w:p w:rsidR="006D610F" w:rsidRDefault="006D610F">
      <w:pPr>
        <w:keepNext/>
        <w:pBdr>
          <w:bottom w:val="single" w:sz="5" w:space="1" w:color="1B3A6B"/>
        </w:pBdr>
        <w:spacing w:before="40" w:after="140"/>
      </w:pPr>
    </w:p>
    <w:p w:rsidR="006D610F" w:rsidRDefault="0071119B">
      <w:pPr>
        <w:pStyle w:val="ListParagraph"/>
        <w:numPr>
          <w:ilvl w:val="0"/>
          <w:numId w:val="2"/>
        </w:numPr>
        <w:spacing w:before="30" w:after="30"/>
      </w:pPr>
      <w:r>
        <w:rPr>
          <w:color w:val="1A1A2E"/>
        </w:rPr>
        <w:t xml:space="preserve">Sustained attention on lower-interest, </w:t>
      </w:r>
      <w:r w:rsidR="008770F9">
        <w:rPr>
          <w:color w:val="1A1A2E"/>
        </w:rPr>
        <w:t>repetitive tasks (such as routine data validation) are</w:t>
      </w:r>
      <w:r>
        <w:rPr>
          <w:color w:val="1A1A2E"/>
        </w:rPr>
        <w:t xml:space="preserve"> reduced, particularly later in the day.</w:t>
      </w:r>
    </w:p>
    <w:p w:rsidR="006D610F" w:rsidRDefault="0071119B">
      <w:pPr>
        <w:pStyle w:val="ListParagraph"/>
        <w:numPr>
          <w:ilvl w:val="0"/>
          <w:numId w:val="2"/>
        </w:numPr>
        <w:spacing w:before="30" w:after="30"/>
      </w:pPr>
      <w:r>
        <w:rPr>
          <w:color w:val="1A1A2E"/>
        </w:rPr>
        <w:t>Difficulty holding multiple concurrent priorities in mind without external prompts; tasks are sometimes missed through lack of structure rather than lack of capability.</w:t>
      </w:r>
    </w:p>
    <w:p w:rsidR="006D610F" w:rsidRDefault="0071119B">
      <w:pPr>
        <w:pStyle w:val="ListParagraph"/>
        <w:numPr>
          <w:ilvl w:val="0"/>
          <w:numId w:val="2"/>
        </w:numPr>
        <w:spacing w:before="30" w:after="30"/>
      </w:pPr>
      <w:r>
        <w:rPr>
          <w:color w:val="1A1A2E"/>
        </w:rPr>
        <w:t>Time estimation for tasks is frequently inaccurate, contributing to missed internal deadlines.</w:t>
      </w:r>
    </w:p>
    <w:p w:rsidR="006D610F" w:rsidRDefault="0071119B">
      <w:pPr>
        <w:pStyle w:val="ListParagraph"/>
        <w:numPr>
          <w:ilvl w:val="0"/>
          <w:numId w:val="2"/>
        </w:numPr>
        <w:spacing w:before="30" w:after="30"/>
      </w:pPr>
      <w:r>
        <w:rPr>
          <w:color w:val="1A1A2E"/>
        </w:rPr>
        <w:t>Open-plan office noise and frequent interruptions appear to disproportionately disrupt concentration compared with quieter or home-working conditions.</w:t>
      </w:r>
    </w:p>
    <w:p w:rsidR="006D610F" w:rsidRDefault="0071119B">
      <w:pPr>
        <w:pStyle w:val="ListParagraph"/>
        <w:numPr>
          <w:ilvl w:val="0"/>
          <w:numId w:val="2"/>
        </w:numPr>
        <w:spacing w:before="30" w:after="30"/>
      </w:pPr>
      <w:r>
        <w:rPr>
          <w:color w:val="1A1A2E"/>
        </w:rPr>
        <w:t>No physical functional limitations reported or observed. No safety-critical elements identified in this role.</w:t>
      </w:r>
    </w:p>
    <w:p w:rsidR="006D610F" w:rsidRDefault="006D610F">
      <w:pPr>
        <w:spacing w:before="120"/>
      </w:pPr>
    </w:p>
    <w:p w:rsidR="006D610F" w:rsidRDefault="0071119B">
      <w:pPr>
        <w:keepNext/>
        <w:spacing w:before="320" w:after="100"/>
      </w:pPr>
      <w:r>
        <w:rPr>
          <w:b/>
          <w:bCs/>
          <w:color w:val="1B3A6B"/>
          <w:sz w:val="24"/>
          <w:szCs w:val="24"/>
        </w:rPr>
        <w:t>6.  Equality Act 2010 Considerations</w:t>
      </w:r>
    </w:p>
    <w:p w:rsidR="006D610F" w:rsidRDefault="006D610F">
      <w:pPr>
        <w:keepNext/>
        <w:pBdr>
          <w:bottom w:val="single" w:sz="5" w:space="1" w:color="1B3A6B"/>
        </w:pBdr>
        <w:spacing w:before="40" w:after="140"/>
      </w:pPr>
    </w:p>
    <w:p w:rsidR="006D610F" w:rsidRDefault="0071119B">
      <w:pPr>
        <w:spacing w:before="60" w:after="90"/>
      </w:pPr>
      <w:r>
        <w:rPr>
          <w:color w:val="1A1A2E"/>
        </w:rPr>
        <w:t>ADHD-type presentations, where there is a substantial and long-term adverse effect o</w:t>
      </w:r>
      <w:r w:rsidR="008770F9">
        <w:rPr>
          <w:color w:val="1A1A2E"/>
        </w:rPr>
        <w:t>n normal day-to-day activities,</w:t>
      </w:r>
      <w:r>
        <w:rPr>
          <w:color w:val="1A1A2E"/>
        </w:rPr>
        <w:t xml:space="preserve"> including concentration, organ</w:t>
      </w:r>
      <w:r w:rsidR="008770F9">
        <w:rPr>
          <w:color w:val="1A1A2E"/>
        </w:rPr>
        <w:t>ising tasks, and managing time,</w:t>
      </w:r>
      <w:r>
        <w:rPr>
          <w:color w:val="1A1A2E"/>
        </w:rPr>
        <w:t xml:space="preserve"> are capable of meeting the Equality Act 2010 definition of disability.</w:t>
      </w:r>
    </w:p>
    <w:p w:rsidR="006D610F" w:rsidRDefault="006D610F">
      <w:pPr>
        <w:spacing w:before="60"/>
      </w:pPr>
    </w:p>
    <w:p w:rsidR="006D610F" w:rsidRDefault="0071119B">
      <w:pPr>
        <w:spacing w:before="60" w:after="90"/>
      </w:pPr>
      <w:r>
        <w:rPr>
          <w:color w:val="1A1A2E"/>
        </w:rPr>
        <w:lastRenderedPageBreak/>
        <w:t>A formal diagnosis is not a legal precondition: under the Act, and the EHRC Employment Statutory Code of Practice, the key test is the practical effect of the impairment, not the label attach</w:t>
      </w:r>
      <w:r w:rsidR="008770F9">
        <w:rPr>
          <w:color w:val="1A1A2E"/>
        </w:rPr>
        <w:t xml:space="preserve">ed to it. Liam's presentation, </w:t>
      </w:r>
      <w:r>
        <w:rPr>
          <w:color w:val="1A1A2E"/>
        </w:rPr>
        <w:t>a sustained, multi-month, multi-domain pattern affecting work, consistent with descri</w:t>
      </w:r>
      <w:r w:rsidR="008770F9">
        <w:rPr>
          <w:color w:val="1A1A2E"/>
        </w:rPr>
        <w:t>ptions going back to childhood,</w:t>
      </w:r>
      <w:r>
        <w:rPr>
          <w:color w:val="1A1A2E"/>
        </w:rPr>
        <w:t xml:space="preserve"> is, on the balance of probabilities, likely to meet this threshold even ahead of the pending formal report.</w:t>
      </w:r>
    </w:p>
    <w:p w:rsidR="006D610F" w:rsidRDefault="006D610F">
      <w:pPr>
        <w:spacing w:before="60"/>
      </w:pPr>
    </w:p>
    <w:p w:rsidR="006D610F" w:rsidRDefault="0071119B">
      <w:pPr>
        <w:spacing w:before="60" w:after="90"/>
      </w:pPr>
      <w:r>
        <w:rPr>
          <w:color w:val="1A1A2E"/>
        </w:rPr>
        <w:t>I would recommend the employer proceeds, in the interim, on the basis that the Equality Act duty to consider reasonable adjustments is likely engaged, to be confirmed or revisited once the full diagnostic report is available.</w:t>
      </w:r>
    </w:p>
    <w:p w:rsidR="006D610F" w:rsidRDefault="006D610F">
      <w:pPr>
        <w:spacing w:before="120"/>
      </w:pPr>
    </w:p>
    <w:p w:rsidR="006D610F" w:rsidRDefault="0071119B">
      <w:pPr>
        <w:spacing w:before="60" w:after="90"/>
      </w:pPr>
      <w:r>
        <w:rPr>
          <w:i/>
          <w:iCs/>
          <w:color w:val="6B7280"/>
        </w:rPr>
        <w:t>HealthBridge does not make legal determinations of disability status. This is a clinical observation only, intended to assist the employer in considering whether reasonable adjustment duties may apply. The employer should seek their own legal advice if there is any uncertainty.</w:t>
      </w:r>
    </w:p>
    <w:p w:rsidR="006D610F" w:rsidRDefault="006D610F">
      <w:pPr>
        <w:spacing w:before="120"/>
      </w:pPr>
    </w:p>
    <w:p w:rsidR="006D610F" w:rsidRDefault="0071119B">
      <w:pPr>
        <w:keepNext/>
        <w:spacing w:before="320" w:after="100"/>
      </w:pPr>
      <w:r>
        <w:rPr>
          <w:b/>
          <w:bCs/>
          <w:color w:val="1B3A6B"/>
          <w:sz w:val="24"/>
          <w:szCs w:val="24"/>
        </w:rPr>
        <w:t>7.  Fitness for Work Opinion</w:t>
      </w:r>
    </w:p>
    <w:p w:rsidR="006D610F" w:rsidRDefault="006D610F">
      <w:pPr>
        <w:keepNext/>
        <w:pBdr>
          <w:bottom w:val="single" w:sz="5" w:space="1" w:color="1B3A6B"/>
        </w:pBdr>
        <w:spacing w:before="40" w:after="140"/>
      </w:pPr>
    </w:p>
    <w:p w:rsidR="006D610F" w:rsidRDefault="0071119B">
      <w:pPr>
        <w:spacing w:before="60" w:after="90"/>
      </w:pPr>
      <w:r>
        <w:rPr>
          <w:b/>
          <w:bCs/>
          <w:color w:val="1A1A2E"/>
        </w:rPr>
        <w:t>Fit for work, with adjustments.</w:t>
      </w:r>
    </w:p>
    <w:p w:rsidR="006D610F" w:rsidRDefault="006D610F">
      <w:pPr>
        <w:spacing w:before="120"/>
      </w:pPr>
    </w:p>
    <w:p w:rsidR="006D610F" w:rsidRDefault="0071119B">
      <w:pPr>
        <w:keepNext/>
        <w:spacing w:before="320" w:after="100"/>
      </w:pPr>
      <w:r>
        <w:rPr>
          <w:b/>
          <w:bCs/>
          <w:color w:val="1B3A6B"/>
          <w:sz w:val="24"/>
          <w:szCs w:val="24"/>
        </w:rPr>
        <w:t>8.  Recommended Adjustments</w:t>
      </w:r>
    </w:p>
    <w:p w:rsidR="006D610F" w:rsidRDefault="006D610F">
      <w:pPr>
        <w:keepNext/>
        <w:pBdr>
          <w:bottom w:val="single" w:sz="5" w:space="1" w:color="1B3A6B"/>
        </w:pBdr>
        <w:spacing w:before="40" w:after="140"/>
      </w:pPr>
    </w:p>
    <w:p w:rsidR="006D610F" w:rsidRDefault="0071119B">
      <w:pPr>
        <w:pStyle w:val="ListParagraph"/>
        <w:numPr>
          <w:ilvl w:val="0"/>
          <w:numId w:val="2"/>
        </w:numPr>
        <w:spacing w:before="30" w:after="30"/>
      </w:pPr>
      <w:r>
        <w:rPr>
          <w:color w:val="1A1A2E"/>
        </w:rPr>
        <w:t>Formalise the existing informal flexible start time (up to 30 minutes) as a documented adjustment.</w:t>
      </w:r>
    </w:p>
    <w:p w:rsidR="006D610F" w:rsidRDefault="0071119B">
      <w:pPr>
        <w:pStyle w:val="ListParagraph"/>
        <w:numPr>
          <w:ilvl w:val="0"/>
          <w:numId w:val="2"/>
        </w:numPr>
        <w:spacing w:before="30" w:after="30"/>
      </w:pPr>
      <w:r>
        <w:rPr>
          <w:color w:val="1A1A2E"/>
        </w:rPr>
        <w:t>Provide written, prioritised task lists for recurring reporting deadlines rather than relying on verbal handovers in meetings.</w:t>
      </w:r>
    </w:p>
    <w:p w:rsidR="006D610F" w:rsidRDefault="0071119B">
      <w:pPr>
        <w:pStyle w:val="ListParagraph"/>
        <w:numPr>
          <w:ilvl w:val="0"/>
          <w:numId w:val="2"/>
        </w:numPr>
        <w:spacing w:before="30" w:after="30"/>
      </w:pPr>
      <w:r>
        <w:rPr>
          <w:color w:val="1A1A2E"/>
        </w:rPr>
        <w:t>Where operationally possible, allow Liam to batch lower-interest, repetitive data-validation tasks into protected blocks of quiet or home-working time.</w:t>
      </w:r>
    </w:p>
    <w:p w:rsidR="006D610F" w:rsidRDefault="0071119B">
      <w:pPr>
        <w:pStyle w:val="ListParagraph"/>
        <w:numPr>
          <w:ilvl w:val="0"/>
          <w:numId w:val="2"/>
        </w:numPr>
        <w:spacing w:before="30" w:after="30"/>
      </w:pPr>
      <w:r>
        <w:rPr>
          <w:color w:val="1A1A2E"/>
        </w:rPr>
        <w:t>Provide noise-cancelling headphones for office days, and consider a quieter desk location if available.</w:t>
      </w:r>
    </w:p>
    <w:p w:rsidR="006D610F" w:rsidRDefault="0071119B">
      <w:pPr>
        <w:pStyle w:val="ListParagraph"/>
        <w:numPr>
          <w:ilvl w:val="0"/>
          <w:numId w:val="2"/>
        </w:numPr>
        <w:spacing w:before="30" w:after="30"/>
      </w:pPr>
      <w:r>
        <w:rPr>
          <w:color w:val="1A1A2E"/>
        </w:rPr>
        <w:t>Break larger reporting projects into shorter milestones with brief check-ins, rather than a single distant deadline.</w:t>
      </w:r>
    </w:p>
    <w:p w:rsidR="006D610F" w:rsidRDefault="0071119B">
      <w:pPr>
        <w:pStyle w:val="ListParagraph"/>
        <w:numPr>
          <w:ilvl w:val="0"/>
          <w:numId w:val="2"/>
        </w:numPr>
        <w:spacing w:before="30" w:after="30"/>
      </w:pPr>
      <w:r>
        <w:rPr>
          <w:color w:val="1A1A2E"/>
        </w:rPr>
        <w:t>Pause formal capability escalation pending the diagnostic outcome (see Section 2, Q1), while continuing supportive, regular check-ins.</w:t>
      </w:r>
    </w:p>
    <w:p w:rsidR="006D610F" w:rsidRDefault="0071119B">
      <w:pPr>
        <w:pStyle w:val="ListParagraph"/>
        <w:numPr>
          <w:ilvl w:val="0"/>
          <w:numId w:val="2"/>
        </w:numPr>
        <w:spacing w:before="30" w:after="30"/>
      </w:pPr>
      <w:r>
        <w:rPr>
          <w:color w:val="1A1A2E"/>
        </w:rPr>
        <w:t>Review again once the full diagnostic report is available, in case the picture or recommended adjustments need to be refined.</w:t>
      </w:r>
    </w:p>
    <w:p w:rsidR="006D610F" w:rsidRDefault="006D610F">
      <w:pPr>
        <w:spacing w:before="120"/>
      </w:pPr>
    </w:p>
    <w:p w:rsidR="006D610F" w:rsidRDefault="0071119B">
      <w:pPr>
        <w:spacing w:before="60" w:after="90"/>
      </w:pPr>
      <w:r>
        <w:rPr>
          <w:i/>
          <w:iCs/>
          <w:color w:val="6B7280"/>
        </w:rPr>
        <w:t>These recommendations are clinical in nature and are advisory and time-limited where specified. HealthBridge does not assess the cost or operational fe</w:t>
      </w:r>
      <w:r w:rsidR="008770F9">
        <w:rPr>
          <w:i/>
          <w:iCs/>
          <w:color w:val="6B7280"/>
        </w:rPr>
        <w:t>asibility of implementing them -</w:t>
      </w:r>
      <w:r>
        <w:rPr>
          <w:i/>
          <w:iCs/>
          <w:color w:val="6B7280"/>
        </w:rPr>
        <w:t xml:space="preserve"> that assessment is the employer's responsibility.</w:t>
      </w:r>
    </w:p>
    <w:p w:rsidR="006D610F" w:rsidRDefault="006D610F">
      <w:pPr>
        <w:spacing w:before="120"/>
      </w:pPr>
    </w:p>
    <w:p w:rsidR="006D610F" w:rsidRDefault="0071119B">
      <w:pPr>
        <w:keepNext/>
        <w:spacing w:before="320" w:after="100"/>
      </w:pPr>
      <w:r>
        <w:rPr>
          <w:b/>
          <w:bCs/>
          <w:color w:val="1B3A6B"/>
          <w:sz w:val="24"/>
          <w:szCs w:val="24"/>
        </w:rPr>
        <w:t>9.  Likely Prognosis and Timescales</w:t>
      </w:r>
    </w:p>
    <w:p w:rsidR="006D610F" w:rsidRDefault="006D610F">
      <w:pPr>
        <w:keepNext/>
        <w:pBdr>
          <w:bottom w:val="single" w:sz="5" w:space="1" w:color="1B3A6B"/>
        </w:pBdr>
        <w:spacing w:before="40" w:after="140"/>
      </w:pPr>
    </w:p>
    <w:p w:rsidR="006D610F" w:rsidRDefault="0071119B">
      <w:pPr>
        <w:pStyle w:val="ListParagraph"/>
        <w:numPr>
          <w:ilvl w:val="0"/>
          <w:numId w:val="2"/>
        </w:numPr>
        <w:spacing w:before="30" w:after="30"/>
      </w:pPr>
      <w:r>
        <w:rPr>
          <w:color w:val="1A1A2E"/>
        </w:rPr>
        <w:t>A formal diagnos</w:t>
      </w:r>
      <w:r w:rsidR="008770F9">
        <w:rPr>
          <w:color w:val="1A1A2E"/>
        </w:rPr>
        <w:t>tic report is expected within 6-</w:t>
      </w:r>
      <w:r>
        <w:rPr>
          <w:color w:val="1A1A2E"/>
        </w:rPr>
        <w:t>8 weeks.</w:t>
      </w:r>
    </w:p>
    <w:p w:rsidR="006D610F" w:rsidRDefault="0071119B">
      <w:pPr>
        <w:pStyle w:val="ListParagraph"/>
        <w:numPr>
          <w:ilvl w:val="0"/>
          <w:numId w:val="2"/>
        </w:numPr>
        <w:spacing w:before="30" w:after="30"/>
      </w:pPr>
      <w:r>
        <w:rPr>
          <w:color w:val="1A1A2E"/>
        </w:rPr>
        <w:t xml:space="preserve">With the adjustments above in place, an improvement in the reliability of task delivery would </w:t>
      </w:r>
      <w:r w:rsidR="008770F9">
        <w:rPr>
          <w:color w:val="1A1A2E"/>
        </w:rPr>
        <w:t>reasonably be expected within 4-</w:t>
      </w:r>
      <w:r>
        <w:rPr>
          <w:color w:val="1A1A2E"/>
        </w:rPr>
        <w:t>6 w</w:t>
      </w:r>
      <w:r w:rsidR="008770F9">
        <w:rPr>
          <w:color w:val="1A1A2E"/>
        </w:rPr>
        <w:t>eeks, though some difficulties,</w:t>
      </w:r>
      <w:r>
        <w:rPr>
          <w:color w:val="1A1A2E"/>
        </w:rPr>
        <w:t xml:space="preserve"> for exampl</w:t>
      </w:r>
      <w:r w:rsidR="008770F9">
        <w:rPr>
          <w:color w:val="1A1A2E"/>
        </w:rPr>
        <w:t>e with highly repetitive tasks,</w:t>
      </w:r>
      <w:r>
        <w:rPr>
          <w:color w:val="1A1A2E"/>
        </w:rPr>
        <w:t xml:space="preserve"> are likely to be a long-term feature requiring ongoing structural adjustment rather than full resolution.</w:t>
      </w:r>
    </w:p>
    <w:p w:rsidR="006D610F" w:rsidRDefault="0071119B">
      <w:pPr>
        <w:pStyle w:val="ListParagraph"/>
        <w:numPr>
          <w:ilvl w:val="0"/>
          <w:numId w:val="2"/>
        </w:numPr>
        <w:spacing w:before="30" w:after="30"/>
      </w:pPr>
      <w:r>
        <w:rPr>
          <w:color w:val="1A1A2E"/>
        </w:rPr>
        <w:t>No indication of any other underlying condition requiring separate investigation at this stage.</w:t>
      </w:r>
    </w:p>
    <w:p w:rsidR="006D610F" w:rsidRDefault="006D610F">
      <w:pPr>
        <w:spacing w:before="120"/>
      </w:pPr>
    </w:p>
    <w:p w:rsidR="006D610F" w:rsidRDefault="0071119B">
      <w:pPr>
        <w:keepNext/>
        <w:spacing w:before="320" w:after="100"/>
      </w:pPr>
      <w:r>
        <w:rPr>
          <w:b/>
          <w:bCs/>
          <w:color w:val="1B3A6B"/>
          <w:sz w:val="24"/>
          <w:szCs w:val="24"/>
        </w:rPr>
        <w:lastRenderedPageBreak/>
        <w:t>10.  Medication and Work Relevance</w:t>
      </w:r>
    </w:p>
    <w:p w:rsidR="006D610F" w:rsidRDefault="006D610F">
      <w:pPr>
        <w:keepNext/>
        <w:pBdr>
          <w:bottom w:val="single" w:sz="5" w:space="1" w:color="1B3A6B"/>
        </w:pBdr>
        <w:spacing w:before="40" w:after="140"/>
      </w:pPr>
    </w:p>
    <w:p w:rsidR="006D610F" w:rsidRDefault="0071119B">
      <w:pPr>
        <w:spacing w:before="60" w:after="90"/>
      </w:pPr>
      <w:r>
        <w:rPr>
          <w:color w:val="1A1A2E"/>
        </w:rPr>
        <w:t>No medications reported with work relevance.</w:t>
      </w:r>
    </w:p>
    <w:p w:rsidR="006D610F" w:rsidRDefault="006D610F">
      <w:pPr>
        <w:spacing w:before="120"/>
      </w:pPr>
    </w:p>
    <w:p w:rsidR="006D610F" w:rsidRDefault="0071119B">
      <w:pPr>
        <w:keepNext/>
        <w:spacing w:before="320" w:after="100"/>
      </w:pPr>
      <w:r>
        <w:rPr>
          <w:b/>
          <w:bCs/>
          <w:color w:val="1B3A6B"/>
          <w:sz w:val="24"/>
          <w:szCs w:val="24"/>
        </w:rPr>
        <w:t>11.  Additional Recommendations</w:t>
      </w:r>
    </w:p>
    <w:p w:rsidR="006D610F" w:rsidRDefault="006D610F">
      <w:pPr>
        <w:keepNext/>
        <w:pBdr>
          <w:bottom w:val="single" w:sz="5" w:space="1" w:color="1B3A6B"/>
        </w:pBdr>
        <w:spacing w:before="40" w:after="140"/>
      </w:pPr>
    </w:p>
    <w:p w:rsidR="006D610F" w:rsidRDefault="0071119B">
      <w:pPr>
        <w:pStyle w:val="ListParagraph"/>
        <w:numPr>
          <w:ilvl w:val="0"/>
          <w:numId w:val="2"/>
        </w:numPr>
        <w:spacing w:before="30" w:after="30"/>
      </w:pPr>
      <w:r>
        <w:rPr>
          <w:color w:val="1A1A2E"/>
        </w:rPr>
        <w:t>Signposting to the employer's Employee Assistance Programme, if available, for the period while awaiting formal diagnosis.</w:t>
      </w:r>
    </w:p>
    <w:p w:rsidR="006D610F" w:rsidRDefault="0071119B">
      <w:pPr>
        <w:pStyle w:val="ListParagraph"/>
        <w:numPr>
          <w:ilvl w:val="0"/>
          <w:numId w:val="2"/>
        </w:numPr>
        <w:spacing w:before="30" w:after="30"/>
      </w:pPr>
      <w:r>
        <w:rPr>
          <w:color w:val="1A1A2E"/>
        </w:rPr>
        <w:t>Brief manager gui</w:t>
      </w:r>
      <w:r w:rsidR="008770F9">
        <w:rPr>
          <w:color w:val="1A1A2E"/>
        </w:rPr>
        <w:t>dance on ADHD-aware approaches,</w:t>
      </w:r>
      <w:r>
        <w:rPr>
          <w:color w:val="1A1A2E"/>
        </w:rPr>
        <w:t xml:space="preserve"> for example, written follow</w:t>
      </w:r>
      <w:r w:rsidR="008770F9">
        <w:rPr>
          <w:color w:val="1A1A2E"/>
        </w:rPr>
        <w:t>-ups after verbal instructions,</w:t>
      </w:r>
      <w:r>
        <w:rPr>
          <w:color w:val="1A1A2E"/>
        </w:rPr>
        <w:t xml:space="preserve"> may help sustain the adjustments above.</w:t>
      </w:r>
    </w:p>
    <w:p w:rsidR="006D610F" w:rsidRDefault="0071119B">
      <w:pPr>
        <w:pStyle w:val="ListParagraph"/>
        <w:numPr>
          <w:ilvl w:val="0"/>
          <w:numId w:val="2"/>
        </w:numPr>
        <w:spacing w:before="30" w:after="30"/>
      </w:pPr>
      <w:r>
        <w:rPr>
          <w:color w:val="1A1A2E"/>
        </w:rPr>
        <w:t>Re-referral to OH is recommended once the formal diagnostic report is available, to review and refine adjustments.</w:t>
      </w:r>
    </w:p>
    <w:p w:rsidR="006D610F" w:rsidRDefault="006D610F">
      <w:pPr>
        <w:spacing w:before="120"/>
      </w:pPr>
    </w:p>
    <w:p w:rsidR="006D610F" w:rsidRDefault="0071119B">
      <w:pPr>
        <w:keepNext/>
        <w:spacing w:before="320" w:after="100"/>
      </w:pPr>
      <w:r>
        <w:rPr>
          <w:b/>
          <w:bCs/>
          <w:color w:val="1B3A6B"/>
          <w:sz w:val="24"/>
          <w:szCs w:val="24"/>
        </w:rPr>
        <w:t>12.  Report Status and Consent</w:t>
      </w:r>
    </w:p>
    <w:p w:rsidR="006D610F" w:rsidRDefault="006D610F">
      <w:pPr>
        <w:keepNext/>
        <w:pBdr>
          <w:bottom w:val="single" w:sz="5" w:space="1" w:color="1B3A6B"/>
        </w:pBdr>
        <w:spacing w:before="40" w:after="1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00"/>
        <w:gridCol w:w="5226"/>
      </w:tblGrid>
      <w:tr w:rsidR="006D610F">
        <w:tc>
          <w:tcPr>
            <w:tcW w:w="38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Stage</w:t>
            </w:r>
          </w:p>
        </w:tc>
        <w:tc>
          <w:tcPr>
            <w:tcW w:w="5226"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6D610F" w:rsidRDefault="0071119B">
            <w:r>
              <w:rPr>
                <w:b/>
                <w:bCs/>
                <w:color w:val="FFFFFF"/>
              </w:rPr>
              <w:t>Date</w:t>
            </w:r>
          </w:p>
        </w:tc>
      </w:tr>
      <w:tr w:rsidR="006D610F">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rPr>
                <w:color w:val="1A1A2E"/>
              </w:rPr>
              <w:t>Draft report issued to employee</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rPr>
                <w:color w:val="1A1A2E"/>
              </w:rPr>
              <w:t>05/02/2026</w:t>
            </w:r>
          </w:p>
        </w:tc>
      </w:tr>
      <w:tr w:rsidR="006D610F">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rPr>
                <w:color w:val="1A1A2E"/>
              </w:rPr>
              <w:t>Emp</w:t>
            </w:r>
            <w:r w:rsidR="008770F9">
              <w:rPr>
                <w:color w:val="1A1A2E"/>
              </w:rPr>
              <w:t>loyee review period (AMRA 1988 -</w:t>
            </w:r>
            <w:r>
              <w:rPr>
                <w:color w:val="1A1A2E"/>
              </w:rPr>
              <w:t xml:space="preserve"> 7 calendar days)</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8770F9">
            <w:r>
              <w:rPr>
                <w:color w:val="1A1A2E"/>
              </w:rPr>
              <w:t>05/02/2026 -</w:t>
            </w:r>
            <w:r w:rsidR="0071119B">
              <w:rPr>
                <w:color w:val="1A1A2E"/>
              </w:rPr>
              <w:t xml:space="preserve"> 12/02/2026</w:t>
            </w:r>
          </w:p>
        </w:tc>
      </w:tr>
      <w:tr w:rsidR="006D610F">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rPr>
                <w:color w:val="1A1A2E"/>
              </w:rPr>
              <w:t>Consent to release confirmed</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8770F9">
            <w:r>
              <w:rPr>
                <w:color w:val="1A1A2E"/>
              </w:rPr>
              <w:t>Email reply -</w:t>
            </w:r>
            <w:r w:rsidR="0071119B">
              <w:rPr>
                <w:color w:val="1A1A2E"/>
              </w:rPr>
              <w:t xml:space="preserve"> 11/02/2026</w:t>
            </w:r>
          </w:p>
        </w:tc>
      </w:tr>
      <w:tr w:rsidR="006D610F">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rPr>
                <w:color w:val="1A1A2E"/>
              </w:rPr>
              <w:t>Final report issued to employer</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6D610F" w:rsidRDefault="0071119B">
            <w:r>
              <w:rPr>
                <w:color w:val="1A1A2E"/>
              </w:rPr>
              <w:t>12/02/2026</w:t>
            </w:r>
          </w:p>
        </w:tc>
      </w:tr>
    </w:tbl>
    <w:p w:rsidR="006D610F" w:rsidRDefault="006D610F">
      <w:pPr>
        <w:spacing w:before="80"/>
      </w:pPr>
    </w:p>
    <w:p w:rsidR="006D610F" w:rsidRDefault="0071119B">
      <w:pPr>
        <w:spacing w:before="60" w:after="90"/>
      </w:pPr>
      <w:r>
        <w:rPr>
          <w:color w:val="1A1A2E"/>
        </w:rPr>
        <w:t xml:space="preserve">In line with the Access to Medical Reports Act 1988, Liam was given the opportunity to review this report before release and confirmed by email his consent for it to be shared with </w:t>
      </w:r>
      <w:proofErr w:type="spellStart"/>
      <w:r>
        <w:rPr>
          <w:color w:val="1A1A2E"/>
        </w:rPr>
        <w:t>Castlefield</w:t>
      </w:r>
      <w:proofErr w:type="spellEnd"/>
      <w:r>
        <w:rPr>
          <w:color w:val="1A1A2E"/>
        </w:rPr>
        <w:t xml:space="preserve"> Logistics Ltd in its current form. The evidentiary record of this consent is retained in the clinical case file in accordance with </w:t>
      </w:r>
      <w:proofErr w:type="spellStart"/>
      <w:r>
        <w:rPr>
          <w:color w:val="1A1A2E"/>
        </w:rPr>
        <w:t>HealthBridge's</w:t>
      </w:r>
      <w:proofErr w:type="spellEnd"/>
      <w:r>
        <w:rPr>
          <w:color w:val="1A1A2E"/>
        </w:rPr>
        <w:t xml:space="preserve"> Consent Policy.</w:t>
      </w:r>
    </w:p>
    <w:p w:rsidR="006D610F" w:rsidRDefault="006D610F">
      <w:pPr>
        <w:spacing w:before="140"/>
      </w:pPr>
    </w:p>
    <w:p w:rsidR="006D610F" w:rsidRDefault="0071119B">
      <w:pPr>
        <w:keepNext/>
        <w:spacing w:before="320" w:after="100"/>
      </w:pPr>
      <w:r>
        <w:rPr>
          <w:b/>
          <w:bCs/>
          <w:color w:val="1B3A6B"/>
          <w:sz w:val="24"/>
          <w:szCs w:val="24"/>
        </w:rPr>
        <w:t>Clinician Signature</w:t>
      </w:r>
    </w:p>
    <w:p w:rsidR="006D610F" w:rsidRDefault="008770F9">
      <w:pPr>
        <w:keepNext/>
        <w:pBdr>
          <w:bottom w:val="single" w:sz="5" w:space="1" w:color="1B3A6B"/>
        </w:pBdr>
        <w:spacing w:before="40" w:after="140"/>
      </w:pPr>
      <w:r>
        <w:rPr>
          <w:noProof/>
        </w:rPr>
        <w:drawing>
          <wp:anchor distT="0" distB="0" distL="114300" distR="114300" simplePos="0" relativeHeight="251658240" behindDoc="1" locked="0" layoutInCell="1" allowOverlap="1">
            <wp:simplePos x="0" y="0"/>
            <wp:positionH relativeFrom="column">
              <wp:posOffset>2647950</wp:posOffset>
            </wp:positionH>
            <wp:positionV relativeFrom="paragraph">
              <wp:posOffset>202565</wp:posOffset>
            </wp:positionV>
            <wp:extent cx="2148840" cy="1362075"/>
            <wp:effectExtent l="19050" t="0" r="3810" b="0"/>
            <wp:wrapTight wrapText="bothSides">
              <wp:wrapPolygon edited="0">
                <wp:start x="-191" y="0"/>
                <wp:lineTo x="-191" y="21449"/>
                <wp:lineTo x="21638" y="21449"/>
                <wp:lineTo x="21638" y="0"/>
                <wp:lineTo x="-19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48840" cy="1362075"/>
                    </a:xfrm>
                    <a:prstGeom prst="rect">
                      <a:avLst/>
                    </a:prstGeom>
                    <a:noFill/>
                    <a:ln w="9525">
                      <a:noFill/>
                      <a:miter lim="800000"/>
                      <a:headEnd/>
                      <a:tailEnd/>
                    </a:ln>
                  </pic:spPr>
                </pic:pic>
              </a:graphicData>
            </a:graphic>
          </wp:anchor>
        </w:drawing>
      </w:r>
    </w:p>
    <w:p w:rsidR="008770F9" w:rsidRDefault="008770F9">
      <w:pPr>
        <w:keepNext/>
        <w:spacing w:before="60" w:after="90"/>
        <w:rPr>
          <w:b/>
          <w:bCs/>
          <w:color w:val="1A1A2E"/>
        </w:rPr>
      </w:pPr>
    </w:p>
    <w:p w:rsidR="006D610F" w:rsidRDefault="0071119B">
      <w:pPr>
        <w:keepNext/>
        <w:spacing w:before="60" w:after="90"/>
      </w:pPr>
      <w:r>
        <w:rPr>
          <w:b/>
          <w:bCs/>
          <w:color w:val="1A1A2E"/>
        </w:rPr>
        <w:t>Dr James Stanley</w:t>
      </w:r>
    </w:p>
    <w:p w:rsidR="006D610F" w:rsidRDefault="0071119B">
      <w:pPr>
        <w:keepNext/>
        <w:spacing w:before="60" w:after="90"/>
      </w:pPr>
      <w:r>
        <w:rPr>
          <w:color w:val="1A1A2E"/>
        </w:rPr>
        <w:t>GP providing Occupational Health Services</w:t>
      </w:r>
    </w:p>
    <w:p w:rsidR="006D610F" w:rsidRDefault="0071119B">
      <w:pPr>
        <w:keepNext/>
        <w:spacing w:before="60" w:after="90"/>
      </w:pPr>
      <w:r>
        <w:rPr>
          <w:color w:val="1A1A2E"/>
        </w:rPr>
        <w:t>GMC Registration No: 7285162</w:t>
      </w:r>
    </w:p>
    <w:p w:rsidR="006D610F" w:rsidRDefault="0071119B">
      <w:pPr>
        <w:keepNext/>
        <w:spacing w:before="60" w:after="90"/>
      </w:pPr>
      <w:r>
        <w:rPr>
          <w:color w:val="1A1A2E"/>
        </w:rPr>
        <w:t>HealthBridge Occupational Health Ltd</w:t>
      </w:r>
    </w:p>
    <w:p w:rsidR="006D610F" w:rsidRDefault="0071119B">
      <w:pPr>
        <w:spacing w:before="60" w:after="90"/>
        <w:rPr>
          <w:color w:val="1A1A2E"/>
        </w:rPr>
      </w:pPr>
      <w:r>
        <w:rPr>
          <w:color w:val="1A1A2E"/>
        </w:rPr>
        <w:t>Date: 12/02/2026</w:t>
      </w:r>
    </w:p>
    <w:p w:rsidR="008770F9" w:rsidRDefault="008770F9">
      <w:pPr>
        <w:spacing w:before="60" w:after="90"/>
      </w:pPr>
    </w:p>
    <w:sectPr w:rsidR="008770F9" w:rsidSect="006D610F">
      <w:headerReference w:type="default" r:id="rId8"/>
      <w:footerReference w:type="default" r:id="rId9"/>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2B7" w:rsidRDefault="007F62B7" w:rsidP="006D610F">
      <w:r>
        <w:separator/>
      </w:r>
    </w:p>
  </w:endnote>
  <w:endnote w:type="continuationSeparator" w:id="0">
    <w:p w:rsidR="007F62B7" w:rsidRDefault="007F62B7" w:rsidP="006D610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0F" w:rsidRDefault="0071119B">
    <w:pPr>
      <w:pBdr>
        <w:top w:val="single" w:sz="3" w:space="2" w:color="1B3A6B"/>
      </w:pBdr>
      <w:spacing w:before="100"/>
    </w:pPr>
    <w:r>
      <w:rPr>
        <w:i/>
        <w:iCs/>
        <w:color w:val="6B7280"/>
        <w:sz w:val="13"/>
        <w:szCs w:val="13"/>
      </w:rPr>
      <w:t>This report provides the professional opinion of the assessing GP for occupational health purposes, to inform workplace decisions including fitness for work, adjustments, and (where relevant) capability or disciplinary processes. It is not a medico-legal report prepared for litigation and has not been written to the standard required for use as expert evidence in legal proceedings. Opinions are based on information available at the time of assessment.</w:t>
    </w:r>
  </w:p>
  <w:p w:rsidR="006D610F" w:rsidRDefault="0071119B">
    <w:pPr>
      <w:tabs>
        <w:tab w:val="right" w:pos="9026"/>
      </w:tabs>
      <w:spacing w:before="60"/>
    </w:pPr>
    <w:r>
      <w:rPr>
        <w:color w:val="6B7280"/>
        <w:sz w:val="13"/>
        <w:szCs w:val="13"/>
      </w:rPr>
      <w:t xml:space="preserve">HealthBridge Occupational Health </w:t>
    </w:r>
    <w:proofErr w:type="gramStart"/>
    <w:r>
      <w:rPr>
        <w:color w:val="6B7280"/>
        <w:sz w:val="13"/>
        <w:szCs w:val="13"/>
      </w:rPr>
      <w:t>Ltd  |</w:t>
    </w:r>
    <w:proofErr w:type="gramEnd"/>
    <w:r>
      <w:rPr>
        <w:color w:val="6B7280"/>
        <w:sz w:val="13"/>
        <w:szCs w:val="13"/>
      </w:rPr>
      <w:t xml:space="preserve">  Co. No: </w:t>
    </w:r>
    <w:proofErr w:type="gramStart"/>
    <w:r>
      <w:rPr>
        <w:color w:val="6B7280"/>
        <w:sz w:val="13"/>
        <w:szCs w:val="13"/>
      </w:rPr>
      <w:t>16615396  |</w:t>
    </w:r>
    <w:proofErr w:type="gramEnd"/>
    <w:r>
      <w:rPr>
        <w:color w:val="6B7280"/>
        <w:sz w:val="13"/>
        <w:szCs w:val="13"/>
      </w:rPr>
      <w:t xml:space="preserve">  50 </w:t>
    </w:r>
    <w:proofErr w:type="spellStart"/>
    <w:r>
      <w:rPr>
        <w:color w:val="6B7280"/>
        <w:sz w:val="13"/>
        <w:szCs w:val="13"/>
      </w:rPr>
      <w:t>Hadow</w:t>
    </w:r>
    <w:proofErr w:type="spellEnd"/>
    <w:r>
      <w:rPr>
        <w:color w:val="6B7280"/>
        <w:sz w:val="13"/>
        <w:szCs w:val="13"/>
      </w:rPr>
      <w:t xml:space="preserve"> Way, Gloucester, GL2 4YJ</w:t>
    </w:r>
    <w:r>
      <w:rPr>
        <w:color w:val="6B7280"/>
        <w:sz w:val="13"/>
        <w:szCs w:val="13"/>
      </w:rPr>
      <w:tab/>
      <w:t xml:space="preserve">Page </w:t>
    </w:r>
    <w:r w:rsidR="002C0DF3">
      <w:rPr>
        <w:color w:val="6B7280"/>
        <w:sz w:val="13"/>
        <w:szCs w:val="13"/>
      </w:rPr>
      <w:fldChar w:fldCharType="begin"/>
    </w:r>
    <w:r>
      <w:rPr>
        <w:color w:val="6B7280"/>
        <w:sz w:val="13"/>
        <w:szCs w:val="13"/>
      </w:rPr>
      <w:instrText>PAGE</w:instrText>
    </w:r>
    <w:r w:rsidR="002C0DF3">
      <w:rPr>
        <w:color w:val="6B7280"/>
        <w:sz w:val="13"/>
        <w:szCs w:val="13"/>
      </w:rPr>
      <w:fldChar w:fldCharType="separate"/>
    </w:r>
    <w:r w:rsidR="00977727">
      <w:rPr>
        <w:noProof/>
        <w:color w:val="6B7280"/>
        <w:sz w:val="13"/>
        <w:szCs w:val="13"/>
      </w:rPr>
      <w:t>1</w:t>
    </w:r>
    <w:r w:rsidR="002C0DF3">
      <w:rPr>
        <w:color w:val="6B7280"/>
        <w:sz w:val="13"/>
        <w:szCs w:val="1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2B7" w:rsidRDefault="007F62B7" w:rsidP="006D610F">
      <w:r>
        <w:separator/>
      </w:r>
    </w:p>
  </w:footnote>
  <w:footnote w:type="continuationSeparator" w:id="0">
    <w:p w:rsidR="007F62B7" w:rsidRDefault="007F62B7" w:rsidP="006D61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0F" w:rsidRDefault="0071119B">
    <w:pPr>
      <w:tabs>
        <w:tab w:val="right" w:pos="9026"/>
      </w:tabs>
      <w:spacing w:after="80"/>
    </w:pPr>
    <w:r>
      <w:rPr>
        <w:color w:val="6B7280"/>
        <w:sz w:val="15"/>
        <w:szCs w:val="15"/>
      </w:rPr>
      <w:t xml:space="preserve">HealthBridge Occupational Health </w:t>
    </w:r>
    <w:proofErr w:type="gramStart"/>
    <w:r>
      <w:rPr>
        <w:color w:val="6B7280"/>
        <w:sz w:val="15"/>
        <w:szCs w:val="15"/>
      </w:rPr>
      <w:t>Ltd  |</w:t>
    </w:r>
    <w:proofErr w:type="gramEnd"/>
    <w:r>
      <w:rPr>
        <w:color w:val="6B7280"/>
        <w:sz w:val="15"/>
        <w:szCs w:val="15"/>
      </w:rPr>
      <w:t xml:space="preserve">  Dr James Stanley (GMC: 7285162)</w:t>
    </w:r>
    <w:r>
      <w:rPr>
        <w:b/>
        <w:bCs/>
        <w:color w:val="1B3A6B"/>
        <w:sz w:val="15"/>
        <w:szCs w:val="15"/>
      </w:rPr>
      <w:tab/>
      <w:t>CONFIDENTIAL</w:t>
    </w:r>
  </w:p>
  <w:p w:rsidR="006D610F" w:rsidRDefault="006D610F">
    <w:pPr>
      <w:pBdr>
        <w:bottom w:val="single" w:sz="5"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64A88"/>
    <w:multiLevelType w:val="hybridMultilevel"/>
    <w:tmpl w:val="189211B6"/>
    <w:lvl w:ilvl="0" w:tplc="B1E87DF2">
      <w:start w:val="1"/>
      <w:numFmt w:val="bullet"/>
      <w:lvlText w:val="•"/>
      <w:lvlJc w:val="left"/>
      <w:pPr>
        <w:ind w:left="320" w:hanging="320"/>
      </w:pPr>
    </w:lvl>
    <w:lvl w:ilvl="1" w:tplc="3F5AB71E">
      <w:numFmt w:val="decimal"/>
      <w:lvlText w:val=""/>
      <w:lvlJc w:val="left"/>
    </w:lvl>
    <w:lvl w:ilvl="2" w:tplc="8C06523E">
      <w:numFmt w:val="decimal"/>
      <w:lvlText w:val=""/>
      <w:lvlJc w:val="left"/>
    </w:lvl>
    <w:lvl w:ilvl="3" w:tplc="817E5806">
      <w:numFmt w:val="decimal"/>
      <w:lvlText w:val=""/>
      <w:lvlJc w:val="left"/>
    </w:lvl>
    <w:lvl w:ilvl="4" w:tplc="68142D06">
      <w:numFmt w:val="decimal"/>
      <w:lvlText w:val=""/>
      <w:lvlJc w:val="left"/>
    </w:lvl>
    <w:lvl w:ilvl="5" w:tplc="A660420A">
      <w:numFmt w:val="decimal"/>
      <w:lvlText w:val=""/>
      <w:lvlJc w:val="left"/>
    </w:lvl>
    <w:lvl w:ilvl="6" w:tplc="C5943B72">
      <w:numFmt w:val="decimal"/>
      <w:lvlText w:val=""/>
      <w:lvlJc w:val="left"/>
    </w:lvl>
    <w:lvl w:ilvl="7" w:tplc="F55EB86E">
      <w:numFmt w:val="decimal"/>
      <w:lvlText w:val=""/>
      <w:lvlJc w:val="left"/>
    </w:lvl>
    <w:lvl w:ilvl="8" w:tplc="08F4C7F8">
      <w:numFmt w:val="decimal"/>
      <w:lvlText w:val=""/>
      <w:lvlJc w:val="left"/>
    </w:lvl>
  </w:abstractNum>
  <w:abstractNum w:abstractNumId="1">
    <w:nsid w:val="5BAD33E9"/>
    <w:multiLevelType w:val="hybridMultilevel"/>
    <w:tmpl w:val="F32A574E"/>
    <w:lvl w:ilvl="0" w:tplc="AA2009A8">
      <w:start w:val="1"/>
      <w:numFmt w:val="bullet"/>
      <w:lvlText w:val="●"/>
      <w:lvlJc w:val="left"/>
      <w:pPr>
        <w:ind w:left="720" w:hanging="360"/>
      </w:pPr>
    </w:lvl>
    <w:lvl w:ilvl="1" w:tplc="BF9C72A4">
      <w:start w:val="1"/>
      <w:numFmt w:val="bullet"/>
      <w:lvlText w:val="○"/>
      <w:lvlJc w:val="left"/>
      <w:pPr>
        <w:ind w:left="1440" w:hanging="360"/>
      </w:pPr>
    </w:lvl>
    <w:lvl w:ilvl="2" w:tplc="95B6F620">
      <w:start w:val="1"/>
      <w:numFmt w:val="bullet"/>
      <w:lvlText w:val="■"/>
      <w:lvlJc w:val="left"/>
      <w:pPr>
        <w:ind w:left="2160" w:hanging="360"/>
      </w:pPr>
    </w:lvl>
    <w:lvl w:ilvl="3" w:tplc="D870E5B0">
      <w:start w:val="1"/>
      <w:numFmt w:val="bullet"/>
      <w:lvlText w:val="●"/>
      <w:lvlJc w:val="left"/>
      <w:pPr>
        <w:ind w:left="2880" w:hanging="360"/>
      </w:pPr>
    </w:lvl>
    <w:lvl w:ilvl="4" w:tplc="28106B06">
      <w:start w:val="1"/>
      <w:numFmt w:val="bullet"/>
      <w:lvlText w:val="○"/>
      <w:lvlJc w:val="left"/>
      <w:pPr>
        <w:ind w:left="3600" w:hanging="360"/>
      </w:pPr>
    </w:lvl>
    <w:lvl w:ilvl="5" w:tplc="64F6C586">
      <w:start w:val="1"/>
      <w:numFmt w:val="bullet"/>
      <w:lvlText w:val="■"/>
      <w:lvlJc w:val="left"/>
      <w:pPr>
        <w:ind w:left="4320" w:hanging="360"/>
      </w:pPr>
    </w:lvl>
    <w:lvl w:ilvl="6" w:tplc="5540CAF0">
      <w:start w:val="1"/>
      <w:numFmt w:val="bullet"/>
      <w:lvlText w:val="●"/>
      <w:lvlJc w:val="left"/>
      <w:pPr>
        <w:ind w:left="5040" w:hanging="360"/>
      </w:pPr>
    </w:lvl>
    <w:lvl w:ilvl="7" w:tplc="07B2B982">
      <w:start w:val="1"/>
      <w:numFmt w:val="bullet"/>
      <w:lvlText w:val="●"/>
      <w:lvlJc w:val="left"/>
      <w:pPr>
        <w:ind w:left="5760" w:hanging="360"/>
      </w:pPr>
    </w:lvl>
    <w:lvl w:ilvl="8" w:tplc="3298571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6D610F"/>
    <w:rsid w:val="002C0DF3"/>
    <w:rsid w:val="0036002E"/>
    <w:rsid w:val="005D02D3"/>
    <w:rsid w:val="006D610F"/>
    <w:rsid w:val="0071119B"/>
    <w:rsid w:val="007F62B7"/>
    <w:rsid w:val="008770F9"/>
    <w:rsid w:val="00977727"/>
    <w:rsid w:val="00F466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19"/>
        <w:szCs w:val="19"/>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2D3"/>
  </w:style>
  <w:style w:type="paragraph" w:styleId="Heading1">
    <w:name w:val="heading 1"/>
    <w:qFormat/>
    <w:rsid w:val="006D610F"/>
    <w:pPr>
      <w:outlineLvl w:val="0"/>
    </w:pPr>
    <w:rPr>
      <w:color w:val="2E74B5"/>
      <w:sz w:val="32"/>
      <w:szCs w:val="32"/>
    </w:rPr>
  </w:style>
  <w:style w:type="paragraph" w:styleId="Heading2">
    <w:name w:val="heading 2"/>
    <w:qFormat/>
    <w:rsid w:val="006D610F"/>
    <w:pPr>
      <w:outlineLvl w:val="1"/>
    </w:pPr>
    <w:rPr>
      <w:color w:val="2E74B5"/>
      <w:sz w:val="26"/>
      <w:szCs w:val="26"/>
    </w:rPr>
  </w:style>
  <w:style w:type="paragraph" w:styleId="Heading3">
    <w:name w:val="heading 3"/>
    <w:qFormat/>
    <w:rsid w:val="006D610F"/>
    <w:pPr>
      <w:outlineLvl w:val="2"/>
    </w:pPr>
    <w:rPr>
      <w:color w:val="1F4D78"/>
      <w:sz w:val="24"/>
      <w:szCs w:val="24"/>
    </w:rPr>
  </w:style>
  <w:style w:type="paragraph" w:styleId="Heading4">
    <w:name w:val="heading 4"/>
    <w:qFormat/>
    <w:rsid w:val="006D610F"/>
    <w:pPr>
      <w:outlineLvl w:val="3"/>
    </w:pPr>
    <w:rPr>
      <w:i/>
      <w:iCs/>
      <w:color w:val="2E74B5"/>
    </w:rPr>
  </w:style>
  <w:style w:type="paragraph" w:styleId="Heading5">
    <w:name w:val="heading 5"/>
    <w:qFormat/>
    <w:rsid w:val="006D610F"/>
    <w:pPr>
      <w:outlineLvl w:val="4"/>
    </w:pPr>
    <w:rPr>
      <w:color w:val="2E74B5"/>
    </w:rPr>
  </w:style>
  <w:style w:type="paragraph" w:styleId="Heading6">
    <w:name w:val="heading 6"/>
    <w:qFormat/>
    <w:rsid w:val="006D610F"/>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6D610F"/>
    <w:rPr>
      <w:sz w:val="56"/>
      <w:szCs w:val="56"/>
    </w:rPr>
  </w:style>
  <w:style w:type="paragraph" w:customStyle="1" w:styleId="Strong1">
    <w:name w:val="Strong1"/>
    <w:qFormat/>
    <w:rsid w:val="006D610F"/>
    <w:rPr>
      <w:b/>
      <w:bCs/>
    </w:rPr>
  </w:style>
  <w:style w:type="paragraph" w:styleId="ListParagraph">
    <w:name w:val="List Paragraph"/>
    <w:qFormat/>
    <w:rsid w:val="006D610F"/>
  </w:style>
  <w:style w:type="character" w:styleId="Hyperlink">
    <w:name w:val="Hyperlink"/>
    <w:uiPriority w:val="99"/>
    <w:unhideWhenUsed/>
    <w:rsid w:val="006D610F"/>
    <w:rPr>
      <w:color w:val="0563C1"/>
      <w:u w:val="single"/>
    </w:rPr>
  </w:style>
  <w:style w:type="character" w:styleId="FootnoteReference">
    <w:name w:val="footnote reference"/>
    <w:uiPriority w:val="99"/>
    <w:semiHidden/>
    <w:unhideWhenUsed/>
    <w:rsid w:val="006D610F"/>
    <w:rPr>
      <w:vertAlign w:val="superscript"/>
    </w:rPr>
  </w:style>
  <w:style w:type="paragraph" w:styleId="FootnoteText">
    <w:name w:val="footnote text"/>
    <w:link w:val="FootnoteTextChar"/>
    <w:uiPriority w:val="99"/>
    <w:semiHidden/>
    <w:unhideWhenUsed/>
    <w:rsid w:val="006D610F"/>
    <w:rPr>
      <w:sz w:val="20"/>
      <w:szCs w:val="20"/>
    </w:rPr>
  </w:style>
  <w:style w:type="character" w:customStyle="1" w:styleId="FootnoteTextChar">
    <w:name w:val="Footnote Text Char"/>
    <w:link w:val="FootnoteText"/>
    <w:uiPriority w:val="99"/>
    <w:semiHidden/>
    <w:unhideWhenUsed/>
    <w:rsid w:val="006D610F"/>
    <w:rPr>
      <w:sz w:val="20"/>
      <w:szCs w:val="20"/>
    </w:rPr>
  </w:style>
  <w:style w:type="character" w:styleId="EndnoteReference">
    <w:name w:val="endnote reference"/>
    <w:uiPriority w:val="99"/>
    <w:semiHidden/>
    <w:unhideWhenUsed/>
    <w:rsid w:val="006D610F"/>
    <w:rPr>
      <w:vertAlign w:val="superscript"/>
    </w:rPr>
  </w:style>
  <w:style w:type="paragraph" w:styleId="EndnoteText">
    <w:name w:val="endnote text"/>
    <w:link w:val="EndnoteTextChar"/>
    <w:uiPriority w:val="99"/>
    <w:semiHidden/>
    <w:unhideWhenUsed/>
    <w:rsid w:val="006D610F"/>
    <w:rPr>
      <w:sz w:val="20"/>
      <w:szCs w:val="20"/>
    </w:rPr>
  </w:style>
  <w:style w:type="character" w:customStyle="1" w:styleId="EndnoteTextChar">
    <w:name w:val="Endnote Text Char"/>
    <w:link w:val="EndnoteText"/>
    <w:uiPriority w:val="99"/>
    <w:semiHidden/>
    <w:unhideWhenUsed/>
    <w:rsid w:val="006D610F"/>
    <w:rPr>
      <w:sz w:val="20"/>
      <w:szCs w:val="20"/>
    </w:rPr>
  </w:style>
  <w:style w:type="paragraph" w:styleId="BalloonText">
    <w:name w:val="Balloon Text"/>
    <w:basedOn w:val="Normal"/>
    <w:link w:val="BalloonTextChar"/>
    <w:uiPriority w:val="99"/>
    <w:semiHidden/>
    <w:unhideWhenUsed/>
    <w:rsid w:val="008770F9"/>
    <w:rPr>
      <w:rFonts w:ascii="Tahoma" w:hAnsi="Tahoma" w:cs="Tahoma"/>
      <w:sz w:val="16"/>
      <w:szCs w:val="16"/>
    </w:rPr>
  </w:style>
  <w:style w:type="character" w:customStyle="1" w:styleId="BalloonTextChar">
    <w:name w:val="Balloon Text Char"/>
    <w:basedOn w:val="DefaultParagraphFont"/>
    <w:link w:val="BalloonText"/>
    <w:uiPriority w:val="99"/>
    <w:semiHidden/>
    <w:rsid w:val="008770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8053</Characters>
  <Application>Microsoft Office Word</Application>
  <DocSecurity>0</DocSecurity>
  <Lines>67</Lines>
  <Paragraphs>18</Paragraphs>
  <ScaleCrop>false</ScaleCrop>
  <Company>Grizli777</Company>
  <LinksUpToDate>false</LinksUpToDate>
  <CharactersWithSpaces>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2026-06-22T07:40:00Z</dcterms:created>
  <dcterms:modified xsi:type="dcterms:W3CDTF">2026-06-22T07:40:00Z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