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FC5" w:rsidRDefault="002B6B23">
      <w:pPr>
        <w:spacing w:before="200" w:after="60"/>
      </w:pPr>
      <w:r>
        <w:rPr>
          <w:b/>
          <w:bCs/>
          <w:color w:val="1B3A6B"/>
          <w:sz w:val="40"/>
          <w:szCs w:val="40"/>
        </w:rPr>
        <w:t>HEALTHBRIDGE OCCUPATIONAL HEALTH LTD</w:t>
      </w:r>
    </w:p>
    <w:p w:rsidR="00467FC5" w:rsidRDefault="002B6B23">
      <w:pPr>
        <w:spacing w:after="80"/>
      </w:pPr>
      <w:r>
        <w:rPr>
          <w:b/>
          <w:bCs/>
          <w:color w:val="1B3A6B"/>
          <w:sz w:val="28"/>
          <w:szCs w:val="28"/>
        </w:rPr>
        <w:t>Remote Consultation Policy</w:t>
      </w:r>
    </w:p>
    <w:p w:rsidR="00467FC5" w:rsidRDefault="002B6B23">
      <w:pPr>
        <w:pBdr>
          <w:bottom w:val="thick" w:sz="12" w:space="3" w:color="1B3A6B"/>
        </w:pBdr>
        <w:spacing w:after="240"/>
      </w:pPr>
      <w:r>
        <w:rPr>
          <w:i/>
          <w:iCs/>
          <w:color w:val="6B7280"/>
          <w:sz w:val="19"/>
          <w:szCs w:val="19"/>
        </w:rPr>
        <w:t>GP-Led Occupational Health Services   |   Version 2.0   |   Effective 13 June 2026</w:t>
      </w:r>
    </w:p>
    <w:p w:rsidR="00467FC5" w:rsidRDefault="00467FC5">
      <w:pPr>
        <w:spacing w:before="80"/>
      </w:pPr>
    </w:p>
    <w:p w:rsidR="00467FC5" w:rsidRDefault="002B6B23">
      <w:pPr>
        <w:spacing w:before="400" w:after="120"/>
      </w:pPr>
      <w:r>
        <w:rPr>
          <w:b/>
          <w:bCs/>
          <w:color w:val="1B3A6B"/>
          <w:sz w:val="28"/>
          <w:szCs w:val="28"/>
        </w:rPr>
        <w:t>1.  Purpose and Scope</w:t>
      </w:r>
    </w:p>
    <w:p w:rsidR="00467FC5" w:rsidRDefault="00467FC5">
      <w:pPr>
        <w:pBdr>
          <w:bottom w:val="single" w:sz="6" w:space="1" w:color="1B3A6B"/>
        </w:pBdr>
        <w:spacing w:before="60" w:after="200"/>
      </w:pPr>
    </w:p>
    <w:p w:rsidR="00467FC5" w:rsidRDefault="002B6B23">
      <w:pPr>
        <w:spacing w:before="60" w:after="100"/>
      </w:pPr>
      <w:r>
        <w:rPr>
          <w:color w:val="1A1A2E"/>
        </w:rPr>
        <w:t xml:space="preserve">All HealthBridge Occupational Health assessments are delivered remotely by video or telephone. This policy sets out how remote consultations are conducted securely, confidentially, and to a consistent clinical standard — protecting both the employee being </w:t>
      </w:r>
      <w:r>
        <w:rPr>
          <w:color w:val="1A1A2E"/>
        </w:rPr>
        <w:t>assessed and the integrity of the clinical process.</w:t>
      </w:r>
    </w:p>
    <w:p w:rsidR="00467FC5" w:rsidRDefault="00467FC5">
      <w:pPr>
        <w:spacing w:before="60"/>
      </w:pPr>
    </w:p>
    <w:p w:rsidR="00467FC5" w:rsidRDefault="002B6B23">
      <w:pPr>
        <w:spacing w:before="60" w:after="100"/>
      </w:pPr>
      <w:r>
        <w:rPr>
          <w:color w:val="1A1A2E"/>
        </w:rPr>
        <w:t>Remote delivery is HealthBridge's standard service model, not a workaround. It removes travel barriers for employees, enables faster scheduling, and is clinically appropriate for the advisory OH assessme</w:t>
      </w:r>
      <w:r>
        <w:rPr>
          <w:color w:val="1A1A2E"/>
        </w:rPr>
        <w:t>nts we provide.</w:t>
      </w:r>
    </w:p>
    <w:p w:rsidR="00467FC5" w:rsidRDefault="00467FC5">
      <w:pPr>
        <w:spacing w:before="60"/>
      </w:pPr>
    </w:p>
    <w:p w:rsidR="00467FC5" w:rsidRDefault="002B6B23">
      <w:pPr>
        <w:spacing w:before="60" w:after="100"/>
      </w:pPr>
      <w:r>
        <w:rPr>
          <w:color w:val="1A1A2E"/>
        </w:rPr>
        <w:t>Services delivered remotely include:</w:t>
      </w:r>
    </w:p>
    <w:p w:rsidR="00467FC5" w:rsidRDefault="002B6B23">
      <w:pPr>
        <w:pStyle w:val="ListParagraph"/>
        <w:numPr>
          <w:ilvl w:val="0"/>
          <w:numId w:val="2"/>
        </w:numPr>
        <w:spacing w:before="40" w:after="40"/>
      </w:pPr>
      <w:r>
        <w:t>Fitness-for-work assessments</w:t>
      </w:r>
    </w:p>
    <w:p w:rsidR="00467FC5" w:rsidRDefault="002B6B23">
      <w:pPr>
        <w:pStyle w:val="ListParagraph"/>
        <w:numPr>
          <w:ilvl w:val="0"/>
          <w:numId w:val="2"/>
        </w:numPr>
        <w:spacing w:before="40" w:after="40"/>
      </w:pPr>
      <w:r>
        <w:t>Return-to-work and phased return planning</w:t>
      </w:r>
    </w:p>
    <w:p w:rsidR="00467FC5" w:rsidRDefault="002B6B23">
      <w:pPr>
        <w:pStyle w:val="ListParagraph"/>
        <w:numPr>
          <w:ilvl w:val="0"/>
          <w:numId w:val="2"/>
        </w:numPr>
        <w:spacing w:before="40" w:after="40"/>
      </w:pPr>
      <w:r>
        <w:t>Reasonable adjustment advice (Equality Act 2010)</w:t>
      </w:r>
    </w:p>
    <w:p w:rsidR="00467FC5" w:rsidRDefault="002B6B23">
      <w:pPr>
        <w:pStyle w:val="ListParagraph"/>
        <w:numPr>
          <w:ilvl w:val="0"/>
          <w:numId w:val="2"/>
        </w:numPr>
        <w:spacing w:before="40" w:after="40"/>
      </w:pPr>
      <w:r>
        <w:t>Mental health, stress, and neurodiversity assessments within GP competence</w:t>
      </w:r>
    </w:p>
    <w:p w:rsidR="00467FC5" w:rsidRDefault="002B6B23">
      <w:pPr>
        <w:pStyle w:val="ListParagraph"/>
        <w:numPr>
          <w:ilvl w:val="0"/>
          <w:numId w:val="2"/>
        </w:numPr>
        <w:spacing w:before="40" w:after="40"/>
      </w:pPr>
      <w:r>
        <w:t>Sicknes</w:t>
      </w:r>
      <w:r>
        <w:t>s absence reviews</w:t>
      </w:r>
    </w:p>
    <w:p w:rsidR="00467FC5" w:rsidRDefault="002B6B23">
      <w:pPr>
        <w:pStyle w:val="ListParagraph"/>
        <w:numPr>
          <w:ilvl w:val="0"/>
          <w:numId w:val="2"/>
        </w:numPr>
        <w:spacing w:before="40" w:after="40"/>
      </w:pPr>
      <w:r>
        <w:t>Assessments during disciplinary, capability, or misconduct processes</w:t>
      </w:r>
    </w:p>
    <w:p w:rsidR="00467FC5" w:rsidRDefault="00467FC5">
      <w:pPr>
        <w:spacing w:before="6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467FC5">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467FC5" w:rsidRDefault="002B6B23">
            <w:r>
              <w:rPr>
                <w:i/>
                <w:iCs/>
                <w:color w:val="1B3A6B"/>
                <w:sz w:val="19"/>
                <w:szCs w:val="19"/>
              </w:rPr>
              <w:t>Remote consultation is not appropriate for: emergency medical care (direct to 999/NHS 111); physical examination requiring hands-on assessment; prescribing treatment; o</w:t>
            </w:r>
            <w:r>
              <w:rPr>
                <w:i/>
                <w:iCs/>
                <w:color w:val="1B3A6B"/>
                <w:sz w:val="19"/>
                <w:szCs w:val="19"/>
              </w:rPr>
              <w:t>r any assessment outside the clinical scope described in the Referral and Reporting Policy. Where a case cannot be safely or adequately assessed remotely, the Clinical Lead will advise the employer and discuss alternatives.</w:t>
            </w:r>
          </w:p>
        </w:tc>
      </w:tr>
    </w:tbl>
    <w:p w:rsidR="00467FC5" w:rsidRDefault="00467FC5">
      <w:pPr>
        <w:spacing w:before="80"/>
      </w:pPr>
    </w:p>
    <w:p w:rsidR="00467FC5" w:rsidRDefault="002B6B23">
      <w:pPr>
        <w:spacing w:before="400" w:after="120"/>
      </w:pPr>
      <w:r>
        <w:rPr>
          <w:b/>
          <w:bCs/>
          <w:color w:val="1B3A6B"/>
          <w:sz w:val="28"/>
          <w:szCs w:val="28"/>
        </w:rPr>
        <w:t>2.  Approved Platforms and Security Requirements</w:t>
      </w:r>
    </w:p>
    <w:p w:rsidR="00467FC5" w:rsidRDefault="00467FC5">
      <w:pPr>
        <w:pBdr>
          <w:bottom w:val="single" w:sz="6" w:space="1" w:color="1B3A6B"/>
        </w:pBdr>
        <w:spacing w:before="60" w:after="200"/>
      </w:pPr>
    </w:p>
    <w:p w:rsidR="00467FC5" w:rsidRDefault="002B6B23">
      <w:pPr>
        <w:spacing w:before="60" w:after="100"/>
      </w:pPr>
      <w:r>
        <w:rPr>
          <w:color w:val="1A1A2E"/>
        </w:rPr>
        <w:t>All video consultation platforms used by HealthBridge must meet the following minimum security standards:</w:t>
      </w:r>
    </w:p>
    <w:p w:rsidR="00467FC5" w:rsidRDefault="00467FC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000"/>
        <w:gridCol w:w="6026"/>
      </w:tblGrid>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Requirement</w:t>
            </w:r>
          </w:p>
        </w:tc>
        <w:tc>
          <w:tcPr>
            <w:tcW w:w="60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Standard</w:t>
            </w:r>
          </w:p>
        </w:tc>
      </w:tr>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Encryption</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End-to-end encrypted video and audio transmission. Data must not pass through unencrypted channels at any point during the session.</w:t>
            </w:r>
          </w:p>
        </w:tc>
      </w:tr>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Data residency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Session data must be processed and stored within the UK or EEA, or with appropriate UK GDPR international transfer safeguards in place.</w:t>
            </w:r>
          </w:p>
        </w:tc>
      </w:tr>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lastRenderedPageBreak/>
              <w:t>Recording</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Cloud and local recording must be disabled by default. Sessions are not recorded. See Section 5.</w:t>
            </w:r>
          </w:p>
        </w:tc>
      </w:tr>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Waiting roo</w:t>
            </w:r>
            <w:r>
              <w:rPr>
                <w:b/>
                <w:bCs/>
                <w:sz w:val="19"/>
                <w:szCs w:val="19"/>
              </w:rPr>
              <w:t>m / lobby</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A waiting room or lobby function must be enabled so the Clinical Lead controls when the employee enters the session.</w:t>
            </w:r>
          </w:p>
        </w:tc>
      </w:tr>
      <w:tr w:rsidR="00467FC5">
        <w:tblPrEx>
          <w:tblCellMar>
            <w:top w:w="0" w:type="dxa"/>
            <w:bottom w:w="0" w:type="dxa"/>
          </w:tblCellMar>
        </w:tblPrEx>
        <w:tc>
          <w:tcPr>
            <w:tcW w:w="3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Access control</w:t>
            </w:r>
          </w:p>
        </w:tc>
        <w:tc>
          <w:tcPr>
            <w:tcW w:w="60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Session links must be unique, time-limited, and not publicly shareable. The Clinical Lead admits participants ind</w:t>
            </w:r>
            <w:r>
              <w:rPr>
                <w:sz w:val="19"/>
                <w:szCs w:val="19"/>
              </w:rPr>
              <w:t>ividually.</w:t>
            </w:r>
          </w:p>
        </w:tc>
      </w:tr>
    </w:tbl>
    <w:p w:rsidR="00467FC5" w:rsidRDefault="00467FC5">
      <w:pPr>
        <w:spacing w:before="80"/>
      </w:pPr>
    </w:p>
    <w:p w:rsidR="00467FC5" w:rsidRDefault="002B6B23">
      <w:pPr>
        <w:spacing w:before="280" w:after="100"/>
      </w:pPr>
      <w:r>
        <w:rPr>
          <w:b/>
          <w:bCs/>
          <w:color w:val="1B3A6B"/>
          <w:sz w:val="22"/>
          <w:szCs w:val="22"/>
        </w:rPr>
        <w:t>2.1  Current Approved Platforms</w:t>
      </w:r>
    </w:p>
    <w:p w:rsidR="00467FC5" w:rsidRDefault="00467FC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2013"/>
        <w:gridCol w:w="4613"/>
      </w:tblGrid>
      <w:tr w:rsidR="00467FC5">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Platform</w:t>
            </w:r>
          </w:p>
        </w:tc>
        <w:tc>
          <w:tcPr>
            <w:tcW w:w="20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Status</w:t>
            </w:r>
          </w:p>
        </w:tc>
        <w:tc>
          <w:tcPr>
            <w:tcW w:w="4613"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Notes</w:t>
            </w:r>
          </w:p>
        </w:tc>
      </w:tr>
      <w:tr w:rsidR="00467FC5">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Microsoft Teams</w:t>
            </w:r>
          </w:p>
        </w:tc>
        <w:tc>
          <w:tcPr>
            <w:tcW w:w="2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Primary</w:t>
            </w:r>
          </w:p>
        </w:tc>
        <w:tc>
          <w:tcPr>
            <w:tcW w:w="46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Default platform for all video consultations. Employees do not require a Teams account — a guest link is sent via encrypted email. End-to-end encrypted; meeting recording is disabled.</w:t>
            </w:r>
          </w:p>
        </w:tc>
      </w:tr>
      <w:tr w:rsidR="00467FC5">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Telephone (audio only)</w:t>
            </w:r>
          </w:p>
        </w:tc>
        <w:tc>
          <w:tcPr>
            <w:tcW w:w="2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Backup</w:t>
            </w:r>
          </w:p>
        </w:tc>
        <w:tc>
          <w:tcPr>
            <w:tcW w:w="46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Used where video consultation cannot proceed due to technology failure or employee access limitations. Clinically equivalent for most OH assessments. Documented as audio-only in the clinical record.</w:t>
            </w:r>
          </w:p>
        </w:tc>
      </w:tr>
      <w:tr w:rsidR="00467FC5">
        <w:tblPrEx>
          <w:tblCellMar>
            <w:top w:w="0" w:type="dxa"/>
            <w:bottom w:w="0" w:type="dxa"/>
          </w:tblCellMar>
        </w:tblPrEx>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b/>
                <w:bCs/>
                <w:sz w:val="19"/>
                <w:szCs w:val="19"/>
              </w:rPr>
              <w:t>WhatsApp, FaceTime, standard video call apps</w:t>
            </w:r>
          </w:p>
        </w:tc>
        <w:tc>
          <w:tcPr>
            <w:tcW w:w="20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Prohibited</w:t>
            </w:r>
          </w:p>
        </w:tc>
        <w:tc>
          <w:tcPr>
            <w:tcW w:w="4613"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Not compliant with UK GDPR requirements for special category clinical data. Must never be used for clinical consultations.</w:t>
            </w:r>
          </w:p>
        </w:tc>
      </w:tr>
    </w:tbl>
    <w:p w:rsidR="00467FC5" w:rsidRDefault="00467FC5">
      <w:pPr>
        <w:spacing w:before="80"/>
      </w:pPr>
    </w:p>
    <w:p w:rsidR="00467FC5" w:rsidRDefault="002B6B23">
      <w:pPr>
        <w:spacing w:before="400" w:after="120"/>
      </w:pPr>
      <w:r>
        <w:rPr>
          <w:b/>
          <w:bCs/>
          <w:color w:val="1B3A6B"/>
          <w:sz w:val="28"/>
          <w:szCs w:val="28"/>
        </w:rPr>
        <w:t>3.  Clinician Setup and Environment</w:t>
      </w:r>
    </w:p>
    <w:p w:rsidR="00467FC5" w:rsidRDefault="00467FC5">
      <w:pPr>
        <w:pBdr>
          <w:bottom w:val="single" w:sz="6" w:space="1" w:color="1B3A6B"/>
        </w:pBdr>
        <w:spacing w:before="60" w:after="200"/>
      </w:pPr>
    </w:p>
    <w:p w:rsidR="00467FC5" w:rsidRDefault="002B6B23">
      <w:pPr>
        <w:spacing w:before="280" w:after="100"/>
      </w:pPr>
      <w:r>
        <w:rPr>
          <w:b/>
          <w:bCs/>
          <w:color w:val="1B3A6B"/>
          <w:sz w:val="22"/>
          <w:szCs w:val="22"/>
        </w:rPr>
        <w:t>3.1  Device and Software Requirements</w:t>
      </w:r>
    </w:p>
    <w:p w:rsidR="00467FC5" w:rsidRDefault="002B6B23">
      <w:pPr>
        <w:pStyle w:val="ListParagraph"/>
        <w:numPr>
          <w:ilvl w:val="0"/>
          <w:numId w:val="2"/>
        </w:numPr>
        <w:spacing w:before="40" w:after="40"/>
      </w:pPr>
      <w:r>
        <w:t>All devices used for clinical consultations are password-protected and have full-disk encryption enabled (e.g., BitLocker for Windows, FileVault for macOS).</w:t>
      </w:r>
    </w:p>
    <w:p w:rsidR="00467FC5" w:rsidRDefault="002B6B23">
      <w:pPr>
        <w:pStyle w:val="ListParagraph"/>
        <w:numPr>
          <w:ilvl w:val="0"/>
          <w:numId w:val="2"/>
        </w:numPr>
        <w:spacing w:before="40" w:after="40"/>
      </w:pPr>
      <w:r>
        <w:t>Operating systems and clinical software are kept up to date; security patches are applied promptly.</w:t>
      </w:r>
    </w:p>
    <w:p w:rsidR="00467FC5" w:rsidRDefault="002B6B23">
      <w:pPr>
        <w:pStyle w:val="ListParagraph"/>
        <w:numPr>
          <w:ilvl w:val="0"/>
          <w:numId w:val="2"/>
        </w:numPr>
        <w:spacing w:before="40" w:after="40"/>
      </w:pPr>
      <w:r>
        <w:t>A VPN is used when connecting over public or shared networks. Clinical consultations are not conducted over unsecured public Wi-Fi without VPN protection.</w:t>
      </w:r>
    </w:p>
    <w:p w:rsidR="00467FC5" w:rsidRDefault="002B6B23">
      <w:pPr>
        <w:pStyle w:val="ListParagraph"/>
        <w:numPr>
          <w:ilvl w:val="0"/>
          <w:numId w:val="2"/>
        </w:numPr>
        <w:spacing w:before="40" w:after="40"/>
      </w:pPr>
      <w:r>
        <w:t>Anti-malware software is installed and maintained on all clinical devices.</w:t>
      </w:r>
    </w:p>
    <w:p w:rsidR="00467FC5" w:rsidRDefault="002B6B23">
      <w:pPr>
        <w:pStyle w:val="ListParagraph"/>
        <w:numPr>
          <w:ilvl w:val="0"/>
          <w:numId w:val="2"/>
        </w:numPr>
        <w:spacing w:before="40" w:after="40"/>
      </w:pPr>
      <w:r>
        <w:t>Auto-lock is set to 15 minutes on all clinical devices.</w:t>
      </w:r>
    </w:p>
    <w:p w:rsidR="00467FC5" w:rsidRDefault="00467FC5">
      <w:pPr>
        <w:spacing w:before="80"/>
      </w:pPr>
    </w:p>
    <w:p w:rsidR="00467FC5" w:rsidRDefault="002B6B23">
      <w:pPr>
        <w:spacing w:before="280" w:after="100"/>
      </w:pPr>
      <w:r>
        <w:rPr>
          <w:b/>
          <w:bCs/>
          <w:color w:val="1B3A6B"/>
          <w:sz w:val="22"/>
          <w:szCs w:val="22"/>
        </w:rPr>
        <w:t>3.2  Physical Environment</w:t>
      </w:r>
    </w:p>
    <w:p w:rsidR="00467FC5" w:rsidRDefault="002B6B23">
      <w:pPr>
        <w:pStyle w:val="ListParagraph"/>
        <w:numPr>
          <w:ilvl w:val="0"/>
          <w:numId w:val="2"/>
        </w:numPr>
        <w:spacing w:before="40" w:after="40"/>
      </w:pPr>
      <w:r>
        <w:t>Consultations are conducted from a private room where the Clinical Lead cannot be overheard and no third party is present or able to view the screen.</w:t>
      </w:r>
    </w:p>
    <w:p w:rsidR="00467FC5" w:rsidRDefault="002B6B23">
      <w:pPr>
        <w:pStyle w:val="ListParagraph"/>
        <w:numPr>
          <w:ilvl w:val="0"/>
          <w:numId w:val="2"/>
        </w:numPr>
        <w:spacing w:before="40" w:after="40"/>
      </w:pPr>
      <w:r>
        <w:t xml:space="preserve">The background visible </w:t>
      </w:r>
      <w:r>
        <w:t>on video must be neutral and professional, and must not display patient identifiable information from other cases.</w:t>
      </w:r>
    </w:p>
    <w:p w:rsidR="00467FC5" w:rsidRDefault="002B6B23">
      <w:pPr>
        <w:pStyle w:val="ListParagraph"/>
        <w:numPr>
          <w:ilvl w:val="0"/>
          <w:numId w:val="2"/>
        </w:numPr>
        <w:spacing w:before="40" w:after="40"/>
      </w:pPr>
      <w:r>
        <w:t>Headphones or a headset are used during consultations involving sensitive disclosures to prevent audio from being overheard.</w:t>
      </w:r>
    </w:p>
    <w:p w:rsidR="00467FC5" w:rsidRDefault="002B6B23">
      <w:pPr>
        <w:pStyle w:val="ListParagraph"/>
        <w:numPr>
          <w:ilvl w:val="0"/>
          <w:numId w:val="2"/>
        </w:numPr>
        <w:spacing w:before="40" w:after="40"/>
      </w:pPr>
      <w:r>
        <w:t>The Clinical Lea</w:t>
      </w:r>
      <w:r>
        <w:t>d does not conduct clinical consultations from public spaces (e.g., cafés, public transport, shared office spaces without a private room).</w:t>
      </w:r>
    </w:p>
    <w:p w:rsidR="00467FC5" w:rsidRDefault="00467FC5">
      <w:pPr>
        <w:spacing w:before="80"/>
      </w:pPr>
    </w:p>
    <w:p w:rsidR="00467FC5" w:rsidRDefault="002B6B23">
      <w:pPr>
        <w:spacing w:before="400" w:after="120"/>
      </w:pPr>
      <w:r>
        <w:rPr>
          <w:b/>
          <w:bCs/>
          <w:color w:val="1B3A6B"/>
          <w:sz w:val="28"/>
          <w:szCs w:val="28"/>
        </w:rPr>
        <w:lastRenderedPageBreak/>
        <w:t>4.  Employee Preparation</w:t>
      </w:r>
    </w:p>
    <w:p w:rsidR="00467FC5" w:rsidRDefault="00467FC5">
      <w:pPr>
        <w:pBdr>
          <w:bottom w:val="single" w:sz="6" w:space="1" w:color="1B3A6B"/>
        </w:pBdr>
        <w:spacing w:before="60" w:after="200"/>
      </w:pPr>
    </w:p>
    <w:p w:rsidR="00467FC5" w:rsidRDefault="002B6B23">
      <w:pPr>
        <w:spacing w:before="60" w:after="100"/>
      </w:pPr>
      <w:r>
        <w:rPr>
          <w:color w:val="1A1A2E"/>
        </w:rPr>
        <w:t>A pre-consultation information sheet is sent to the employee by encrypted email when the a</w:t>
      </w:r>
      <w:r>
        <w:rPr>
          <w:color w:val="1A1A2E"/>
        </w:rPr>
        <w:t>ppointment is confirmed. It covers the following:</w:t>
      </w:r>
    </w:p>
    <w:p w:rsidR="00467FC5" w:rsidRDefault="00467FC5">
      <w:pPr>
        <w:spacing w:before="60"/>
      </w:pPr>
    </w:p>
    <w:p w:rsidR="00467FC5" w:rsidRDefault="002B6B23">
      <w:pPr>
        <w:spacing w:before="280" w:after="100"/>
      </w:pPr>
      <w:r>
        <w:rPr>
          <w:b/>
          <w:bCs/>
          <w:color w:val="1B3A6B"/>
          <w:sz w:val="22"/>
          <w:szCs w:val="22"/>
        </w:rPr>
        <w:t>4.1  What the Employee Needs</w:t>
      </w:r>
    </w:p>
    <w:p w:rsidR="00467FC5" w:rsidRDefault="002B6B23">
      <w:pPr>
        <w:pStyle w:val="ListParagraph"/>
        <w:numPr>
          <w:ilvl w:val="0"/>
          <w:numId w:val="2"/>
        </w:numPr>
        <w:spacing w:before="40" w:after="40"/>
      </w:pPr>
      <w:r>
        <w:t>A device with a camera and microphone (laptop, tablet, or smartphone). Most modern devices are suitable.</w:t>
      </w:r>
    </w:p>
    <w:p w:rsidR="00467FC5" w:rsidRDefault="002B6B23">
      <w:pPr>
        <w:pStyle w:val="ListParagraph"/>
        <w:numPr>
          <w:ilvl w:val="0"/>
          <w:numId w:val="2"/>
        </w:numPr>
        <w:spacing w:before="40" w:after="40"/>
      </w:pPr>
      <w:r>
        <w:t>A stable internet connection — home broadband, mobile data, or workplac</w:t>
      </w:r>
      <w:r>
        <w:t>e Wi-Fi. The connection does not need to be high-speed; standard broadband is sufficient.</w:t>
      </w:r>
    </w:p>
    <w:p w:rsidR="00467FC5" w:rsidRDefault="002B6B23">
      <w:pPr>
        <w:pStyle w:val="ListParagraph"/>
        <w:numPr>
          <w:ilvl w:val="0"/>
          <w:numId w:val="2"/>
        </w:numPr>
        <w:spacing w:before="40" w:after="40"/>
      </w:pPr>
      <w:r>
        <w:t>A quiet, private space where they cannot be overheard and where they feel comfortable discussing confidential health information.</w:t>
      </w:r>
    </w:p>
    <w:p w:rsidR="00467FC5" w:rsidRDefault="002B6B23">
      <w:pPr>
        <w:pStyle w:val="ListParagraph"/>
        <w:numPr>
          <w:ilvl w:val="0"/>
          <w:numId w:val="2"/>
        </w:numPr>
        <w:spacing w:before="40" w:after="40"/>
      </w:pPr>
      <w:r>
        <w:t>Microsoft Teams — employees do not n</w:t>
      </w:r>
      <w:r>
        <w:t>eed an account. A one-click guest link is provided in the appointment confirmation email. No download is required for browser-based access.</w:t>
      </w:r>
    </w:p>
    <w:p w:rsidR="00467FC5" w:rsidRDefault="00467FC5">
      <w:pPr>
        <w:spacing w:before="80"/>
      </w:pPr>
    </w:p>
    <w:p w:rsidR="00467FC5" w:rsidRDefault="002B6B23">
      <w:pPr>
        <w:spacing w:before="280" w:after="100"/>
      </w:pPr>
      <w:r>
        <w:rPr>
          <w:b/>
          <w:bCs/>
          <w:color w:val="1B3A6B"/>
          <w:sz w:val="22"/>
          <w:szCs w:val="22"/>
        </w:rPr>
        <w:t>4.2  What the Employee Should Have to Hand</w:t>
      </w:r>
    </w:p>
    <w:p w:rsidR="00467FC5" w:rsidRDefault="002B6B23">
      <w:pPr>
        <w:pStyle w:val="ListParagraph"/>
        <w:numPr>
          <w:ilvl w:val="0"/>
          <w:numId w:val="2"/>
        </w:numPr>
        <w:spacing w:before="40" w:after="40"/>
      </w:pPr>
      <w:r>
        <w:t>Their appointment confirmation email (which includes the session link)</w:t>
      </w:r>
    </w:p>
    <w:p w:rsidR="00467FC5" w:rsidRDefault="002B6B23">
      <w:pPr>
        <w:pStyle w:val="ListParagraph"/>
        <w:numPr>
          <w:ilvl w:val="0"/>
          <w:numId w:val="2"/>
        </w:numPr>
        <w:spacing w:before="40" w:after="40"/>
      </w:pPr>
      <w:r>
        <w:t>Any relevant documentation they wish to refer to during the assessment (e.g., a fit note, a list of medications, any GP correspondence they wish to share)</w:t>
      </w:r>
    </w:p>
    <w:p w:rsidR="00467FC5" w:rsidRDefault="002B6B23">
      <w:pPr>
        <w:pStyle w:val="ListParagraph"/>
        <w:numPr>
          <w:ilvl w:val="0"/>
          <w:numId w:val="2"/>
        </w:numPr>
        <w:spacing w:before="40" w:after="40"/>
      </w:pPr>
      <w:r>
        <w:t>Approximately 45-60 minutes free from interruption</w:t>
      </w:r>
    </w:p>
    <w:p w:rsidR="00467FC5" w:rsidRDefault="00467FC5">
      <w:pPr>
        <w:spacing w:before="80"/>
      </w:pPr>
    </w:p>
    <w:p w:rsidR="00467FC5" w:rsidRDefault="002B6B23">
      <w:pPr>
        <w:spacing w:before="280" w:after="100"/>
      </w:pPr>
      <w:r>
        <w:rPr>
          <w:b/>
          <w:bCs/>
          <w:color w:val="1B3A6B"/>
          <w:sz w:val="22"/>
          <w:szCs w:val="22"/>
        </w:rPr>
        <w:t>4.3  What to Do if Technology Doesn't Work</w:t>
      </w:r>
    </w:p>
    <w:p w:rsidR="00467FC5" w:rsidRDefault="002B6B23">
      <w:pPr>
        <w:spacing w:before="60" w:after="100"/>
      </w:pPr>
      <w:r>
        <w:rPr>
          <w:color w:val="1A1A2E"/>
        </w:rPr>
        <w:t>The pr</w:t>
      </w:r>
      <w:r>
        <w:rPr>
          <w:color w:val="1A1A2E"/>
        </w:rPr>
        <w:t xml:space="preserve">e-consultation information sheet provides a direct telephone number for the Clinical Lead. If the employee cannot connect via video at the scheduled time, they should call this number and the consultation will proceed by telephone. Employees are asked not </w:t>
      </w:r>
      <w:r>
        <w:rPr>
          <w:color w:val="1A1A2E"/>
        </w:rPr>
        <w:t>to wait more than 5 minutes without making contact — the Clinical Lead will do the same.</w:t>
      </w:r>
    </w:p>
    <w:p w:rsidR="00467FC5" w:rsidRDefault="00467FC5">
      <w:pPr>
        <w:spacing w:before="80"/>
      </w:pPr>
    </w:p>
    <w:p w:rsidR="00467FC5" w:rsidRDefault="002B6B23">
      <w:pPr>
        <w:spacing w:before="280" w:after="100"/>
      </w:pPr>
      <w:r>
        <w:rPr>
          <w:b/>
          <w:bCs/>
          <w:color w:val="1B3A6B"/>
          <w:sz w:val="22"/>
          <w:szCs w:val="22"/>
        </w:rPr>
        <w:t>4.4  Accessibility</w:t>
      </w:r>
    </w:p>
    <w:p w:rsidR="00467FC5" w:rsidRDefault="002B6B23">
      <w:pPr>
        <w:spacing w:before="60" w:after="100"/>
      </w:pPr>
      <w:r>
        <w:rPr>
          <w:color w:val="1A1A2E"/>
        </w:rPr>
        <w:t>Employees with specific accessibility needs — including BSL interpretation, language interpretation, or other communication support — should ensure</w:t>
      </w:r>
      <w:r>
        <w:rPr>
          <w:color w:val="1A1A2E"/>
        </w:rPr>
        <w:t xml:space="preserve"> these have been flagged at the referral stage so arrangements can be made in advance. Where an accessibility need is identified for the first time at the appointment, the Clinical Lead will attempt to accommodate it on the day where possible, or will resc</w:t>
      </w:r>
      <w:r>
        <w:rPr>
          <w:color w:val="1A1A2E"/>
        </w:rPr>
        <w:t>hedule with appropriate support arranged.</w:t>
      </w:r>
    </w:p>
    <w:p w:rsidR="00467FC5" w:rsidRDefault="00467FC5">
      <w:pPr>
        <w:spacing w:before="80"/>
      </w:pPr>
    </w:p>
    <w:p w:rsidR="00467FC5" w:rsidRDefault="002B6B23">
      <w:pPr>
        <w:spacing w:before="400" w:after="120"/>
      </w:pPr>
      <w:r>
        <w:rPr>
          <w:b/>
          <w:bCs/>
          <w:color w:val="1B3A6B"/>
          <w:sz w:val="28"/>
          <w:szCs w:val="28"/>
        </w:rPr>
        <w:t>5.  Consultation Protocol</w:t>
      </w:r>
    </w:p>
    <w:p w:rsidR="00467FC5" w:rsidRDefault="00467FC5">
      <w:pPr>
        <w:pBdr>
          <w:bottom w:val="single" w:sz="6" w:space="1" w:color="1B3A6B"/>
        </w:pBdr>
        <w:spacing w:before="60" w:after="200"/>
      </w:pPr>
    </w:p>
    <w:p w:rsidR="00467FC5" w:rsidRDefault="002B6B23">
      <w:pPr>
        <w:spacing w:before="280" w:after="100"/>
      </w:pPr>
      <w:r>
        <w:rPr>
          <w:b/>
          <w:bCs/>
          <w:color w:val="1B3A6B"/>
          <w:sz w:val="22"/>
          <w:szCs w:val="22"/>
        </w:rPr>
        <w:t>5.1  Before the Session Starts</w:t>
      </w:r>
    </w:p>
    <w:p w:rsidR="00467FC5" w:rsidRDefault="002B6B23">
      <w:pPr>
        <w:pStyle w:val="ListParagraph"/>
        <w:numPr>
          <w:ilvl w:val="0"/>
          <w:numId w:val="2"/>
        </w:numPr>
        <w:spacing w:before="40" w:after="40"/>
      </w:pPr>
      <w:r>
        <w:t>The Clinical Lead opens the session 2-3 minutes before the scheduled start time and enables the waiting room.</w:t>
      </w:r>
    </w:p>
    <w:p w:rsidR="00467FC5" w:rsidRDefault="002B6B23">
      <w:pPr>
        <w:pStyle w:val="ListParagraph"/>
        <w:numPr>
          <w:ilvl w:val="0"/>
          <w:numId w:val="2"/>
        </w:numPr>
        <w:spacing w:before="40" w:after="40"/>
      </w:pPr>
      <w:r>
        <w:t>The employee is admitted from the waiting roo</w:t>
      </w:r>
      <w:r>
        <w:t>m once the Clinical Lead is ready.</w:t>
      </w:r>
    </w:p>
    <w:p w:rsidR="00467FC5" w:rsidRDefault="002B6B23">
      <w:pPr>
        <w:pStyle w:val="ListParagraph"/>
        <w:numPr>
          <w:ilvl w:val="0"/>
          <w:numId w:val="2"/>
        </w:numPr>
        <w:spacing w:before="40" w:after="40"/>
      </w:pPr>
      <w:r>
        <w:t>Identity is confirmed at the start of every session: the Clinical Lead asks the employee to confirm their full name and date of birth. No other identification document is required.</w:t>
      </w:r>
    </w:p>
    <w:p w:rsidR="00467FC5" w:rsidRDefault="002B6B23">
      <w:pPr>
        <w:pStyle w:val="ListParagraph"/>
        <w:numPr>
          <w:ilvl w:val="0"/>
          <w:numId w:val="2"/>
        </w:numPr>
        <w:spacing w:before="40" w:after="40"/>
      </w:pPr>
      <w:r>
        <w:t>The Clinical Lead confirms the purpose o</w:t>
      </w:r>
      <w:r>
        <w:t>f the assessment and the name of the referring employer (or confirms it is a self-referral), and asks the employee to confirm their consent to proceed.</w:t>
      </w:r>
    </w:p>
    <w:p w:rsidR="00467FC5" w:rsidRDefault="002B6B23">
      <w:pPr>
        <w:pStyle w:val="ListParagraph"/>
        <w:numPr>
          <w:ilvl w:val="0"/>
          <w:numId w:val="2"/>
        </w:numPr>
        <w:spacing w:before="40" w:after="40"/>
      </w:pPr>
      <w:r>
        <w:lastRenderedPageBreak/>
        <w:t>Any accessibility needs (e.g., interpreter present) are noted in the clinical record.</w:t>
      </w:r>
    </w:p>
    <w:p w:rsidR="00467FC5" w:rsidRDefault="00467FC5">
      <w:pPr>
        <w:spacing w:before="80"/>
      </w:pPr>
    </w:p>
    <w:p w:rsidR="00467FC5" w:rsidRDefault="002B6B23">
      <w:pPr>
        <w:spacing w:before="280" w:after="100"/>
      </w:pPr>
      <w:r>
        <w:rPr>
          <w:b/>
          <w:bCs/>
          <w:color w:val="1B3A6B"/>
          <w:sz w:val="22"/>
          <w:szCs w:val="22"/>
        </w:rPr>
        <w:t>5.2  During the S</w:t>
      </w:r>
      <w:r>
        <w:rPr>
          <w:b/>
          <w:bCs/>
          <w:color w:val="1B3A6B"/>
          <w:sz w:val="22"/>
          <w:szCs w:val="22"/>
        </w:rPr>
        <w:t>ession</w:t>
      </w:r>
    </w:p>
    <w:p w:rsidR="00467FC5" w:rsidRDefault="002B6B23">
      <w:pPr>
        <w:pStyle w:val="ListParagraph"/>
        <w:numPr>
          <w:ilvl w:val="0"/>
          <w:numId w:val="2"/>
        </w:numPr>
        <w:spacing w:before="40" w:after="40"/>
      </w:pPr>
      <w:r>
        <w:t>Clinical notes are made contemporaneously in the clinical record. No temporary or local files containing patient information are created.</w:t>
      </w:r>
    </w:p>
    <w:p w:rsidR="00467FC5" w:rsidRDefault="002B6B23">
      <w:pPr>
        <w:pStyle w:val="ListParagraph"/>
        <w:numPr>
          <w:ilvl w:val="0"/>
          <w:numId w:val="2"/>
        </w:numPr>
        <w:spacing w:before="40" w:after="40"/>
      </w:pPr>
      <w:r>
        <w:t>The employee is not asked to share their screen unless they choose to show a document. The Clinical Lead does n</w:t>
      </w:r>
      <w:r>
        <w:t>ot request remote access to the employee's device.</w:t>
      </w:r>
    </w:p>
    <w:p w:rsidR="00467FC5" w:rsidRDefault="002B6B23">
      <w:pPr>
        <w:pStyle w:val="ListParagraph"/>
        <w:numPr>
          <w:ilvl w:val="0"/>
          <w:numId w:val="2"/>
        </w:numPr>
        <w:spacing w:before="40" w:after="40"/>
      </w:pPr>
      <w:r>
        <w:t>If a third party is present with the employee (e.g., a support worker or interpreter), this is noted in the clinical record. Family members or colleagues should not act as interpreters — a professional int</w:t>
      </w:r>
      <w:r>
        <w:t>erpreter must be arranged in advance.</w:t>
      </w:r>
    </w:p>
    <w:p w:rsidR="00467FC5" w:rsidRDefault="002B6B23">
      <w:pPr>
        <w:pStyle w:val="ListParagraph"/>
        <w:numPr>
          <w:ilvl w:val="0"/>
          <w:numId w:val="2"/>
        </w:numPr>
        <w:spacing w:before="40" w:after="40"/>
      </w:pPr>
      <w:r>
        <w:t>If the Clinical Lead has any concern about the employee's wellbeing or safety during the session, standard safeguarding procedures apply (see the Clinical Governance Policy).</w:t>
      </w:r>
    </w:p>
    <w:p w:rsidR="00467FC5" w:rsidRDefault="00467FC5">
      <w:pPr>
        <w:spacing w:before="80"/>
      </w:pPr>
    </w:p>
    <w:p w:rsidR="00467FC5" w:rsidRDefault="002B6B23">
      <w:pPr>
        <w:spacing w:before="280" w:after="100"/>
      </w:pPr>
      <w:r>
        <w:rPr>
          <w:b/>
          <w:bCs/>
          <w:color w:val="1B3A6B"/>
          <w:sz w:val="22"/>
          <w:szCs w:val="22"/>
        </w:rPr>
        <w:t>5.3  After the Session</w:t>
      </w:r>
    </w:p>
    <w:p w:rsidR="00467FC5" w:rsidRDefault="002B6B23">
      <w:pPr>
        <w:pStyle w:val="ListParagraph"/>
        <w:numPr>
          <w:ilvl w:val="0"/>
          <w:numId w:val="2"/>
        </w:numPr>
        <w:spacing w:before="40" w:after="40"/>
      </w:pPr>
      <w:r>
        <w:t>Clinical notes are finalised and saved to encrypted storage promptly after the session — within the same working day.</w:t>
      </w:r>
    </w:p>
    <w:p w:rsidR="00467FC5" w:rsidRDefault="002B6B23">
      <w:pPr>
        <w:pStyle w:val="ListParagraph"/>
        <w:numPr>
          <w:ilvl w:val="0"/>
          <w:numId w:val="2"/>
        </w:numPr>
        <w:spacing w:before="40" w:after="40"/>
      </w:pPr>
      <w:r>
        <w:t>No patient-identifiable material from the session (e.g., chat messages, screenshots) is retained on local devices. Where the platform gene</w:t>
      </w:r>
      <w:r>
        <w:t>rates any session metadata or temporary files, these are deleted after clinical note completion.</w:t>
      </w:r>
    </w:p>
    <w:p w:rsidR="00467FC5" w:rsidRDefault="002B6B23">
      <w:pPr>
        <w:pStyle w:val="ListParagraph"/>
        <w:numPr>
          <w:ilvl w:val="0"/>
          <w:numId w:val="2"/>
        </w:numPr>
        <w:spacing w:before="40" w:after="40"/>
      </w:pPr>
      <w:r>
        <w:t>The consultation is logged in the clinical record, including the platform used (video/telephone) and the duration of the session.</w:t>
      </w:r>
    </w:p>
    <w:p w:rsidR="00467FC5" w:rsidRDefault="00467FC5">
      <w:pPr>
        <w:spacing w:before="80"/>
      </w:pPr>
    </w:p>
    <w:p w:rsidR="00467FC5" w:rsidRDefault="002B6B23">
      <w:pPr>
        <w:spacing w:before="400" w:after="120"/>
      </w:pPr>
      <w:r>
        <w:rPr>
          <w:b/>
          <w:bCs/>
          <w:color w:val="1B3A6B"/>
          <w:sz w:val="28"/>
          <w:szCs w:val="28"/>
        </w:rPr>
        <w:t>6.  Recording</w:t>
      </w:r>
    </w:p>
    <w:p w:rsidR="00467FC5" w:rsidRDefault="00467FC5">
      <w:pPr>
        <w:pBdr>
          <w:bottom w:val="single" w:sz="6" w:space="1" w:color="1B3A6B"/>
        </w:pBdr>
        <w:spacing w:before="60" w:after="200"/>
      </w:pPr>
    </w:p>
    <w:tbl>
      <w:tblPr>
        <w:tblW w:w="9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026"/>
      </w:tblGrid>
      <w:tr w:rsidR="00467FC5">
        <w:tblPrEx>
          <w:tblCellMar>
            <w:top w:w="0" w:type="dxa"/>
            <w:bottom w:w="0" w:type="dxa"/>
          </w:tblCellMar>
        </w:tblPrEx>
        <w:tc>
          <w:tcPr>
            <w:tcW w:w="9026" w:type="dxa"/>
            <w:tcBorders>
              <w:top w:val="single" w:sz="4" w:space="0" w:color="1B3A6B"/>
              <w:left w:val="single" w:sz="18" w:space="0" w:color="1B3A6B"/>
              <w:bottom w:val="single" w:sz="4" w:space="0" w:color="1B3A6B"/>
              <w:right w:val="single" w:sz="4" w:space="0" w:color="1B3A6B"/>
            </w:tcBorders>
            <w:shd w:val="clear" w:color="auto" w:fill="E8EEF5"/>
            <w:tcMar>
              <w:top w:w="180" w:type="dxa"/>
              <w:left w:w="260" w:type="dxa"/>
              <w:bottom w:w="180" w:type="dxa"/>
              <w:right w:w="260" w:type="dxa"/>
            </w:tcMar>
          </w:tcPr>
          <w:p w:rsidR="00467FC5" w:rsidRDefault="002B6B23">
            <w:r>
              <w:rPr>
                <w:i/>
                <w:iCs/>
                <w:color w:val="1B3A6B"/>
                <w:sz w:val="19"/>
                <w:szCs w:val="19"/>
              </w:rPr>
              <w:t xml:space="preserve">Sessions are </w:t>
            </w:r>
            <w:r>
              <w:rPr>
                <w:i/>
                <w:iCs/>
                <w:color w:val="1B3A6B"/>
                <w:sz w:val="19"/>
                <w:szCs w:val="19"/>
              </w:rPr>
              <w:t>not recorded. This is the default position and applies to all consultations. Recording is disabled on all approved platforms at the platform settings level.</w:t>
            </w:r>
          </w:p>
        </w:tc>
      </w:tr>
    </w:tbl>
    <w:p w:rsidR="00467FC5" w:rsidRDefault="00467FC5">
      <w:pPr>
        <w:spacing w:before="100"/>
      </w:pPr>
    </w:p>
    <w:p w:rsidR="00467FC5" w:rsidRDefault="002B6B23">
      <w:pPr>
        <w:spacing w:before="60" w:after="100"/>
      </w:pPr>
      <w:r>
        <w:rPr>
          <w:color w:val="1A1A2E"/>
        </w:rPr>
        <w:t>Recording of any HealthBridge clinical consultation — whether by video, audio, or screen capture — is prohibited without the explicit prior written consent of both the Clinical Lead and the employee. This applies to both parties:</w:t>
      </w:r>
    </w:p>
    <w:p w:rsidR="00467FC5" w:rsidRDefault="002B6B23">
      <w:pPr>
        <w:pStyle w:val="ListParagraph"/>
        <w:numPr>
          <w:ilvl w:val="0"/>
          <w:numId w:val="2"/>
        </w:numPr>
        <w:spacing w:before="40" w:after="40"/>
      </w:pPr>
      <w:r>
        <w:t>The Clinical Lead will not</w:t>
      </w:r>
      <w:r>
        <w:t xml:space="preserve"> record any session.</w:t>
      </w:r>
    </w:p>
    <w:p w:rsidR="00467FC5" w:rsidRDefault="002B6B23">
      <w:pPr>
        <w:pStyle w:val="ListParagraph"/>
        <w:numPr>
          <w:ilvl w:val="0"/>
          <w:numId w:val="2"/>
        </w:numPr>
        <w:spacing w:before="40" w:after="40"/>
      </w:pPr>
      <w:r>
        <w:t xml:space="preserve">Employees and any other participants must not record sessions. Where an employee requests to record the consultation, this will be discussed individually. Recording by an employee is not a right under the Access to Medical Reports Act </w:t>
      </w:r>
      <w:r>
        <w:t>1988 or any other relevant legislation, and consent may be declined where the Clinical Lead believes it would compromise the integrity of the assessment.</w:t>
      </w:r>
    </w:p>
    <w:p w:rsidR="00467FC5" w:rsidRDefault="00467FC5">
      <w:pPr>
        <w:spacing w:before="60"/>
      </w:pPr>
    </w:p>
    <w:p w:rsidR="00467FC5" w:rsidRDefault="002B6B23">
      <w:pPr>
        <w:spacing w:before="60" w:after="100"/>
      </w:pPr>
      <w:r>
        <w:rPr>
          <w:color w:val="1A1A2E"/>
        </w:rPr>
        <w:t>Where recording consent is exceptionally granted (e.g., as an accessibility accommodation), this is d</w:t>
      </w:r>
      <w:r>
        <w:rPr>
          <w:color w:val="1A1A2E"/>
        </w:rPr>
        <w:t>ocumented in the clinical record, the recording is stored in encrypted clinical storage, and it is subject to the same retention and access controls as any other clinical record.</w:t>
      </w:r>
    </w:p>
    <w:p w:rsidR="00467FC5" w:rsidRDefault="00467FC5">
      <w:pPr>
        <w:spacing w:before="80"/>
      </w:pPr>
    </w:p>
    <w:p w:rsidR="00467FC5" w:rsidRDefault="002B6B23">
      <w:pPr>
        <w:spacing w:before="400" w:after="120"/>
      </w:pPr>
      <w:r>
        <w:rPr>
          <w:b/>
          <w:bCs/>
          <w:color w:val="1B3A6B"/>
          <w:sz w:val="28"/>
          <w:szCs w:val="28"/>
        </w:rPr>
        <w:t>7.  Contingency and Technical Failures</w:t>
      </w:r>
    </w:p>
    <w:p w:rsidR="00467FC5" w:rsidRDefault="00467FC5">
      <w:pPr>
        <w:pBdr>
          <w:bottom w:val="single" w:sz="6" w:space="1" w:color="1B3A6B"/>
        </w:pBdr>
        <w:spacing w:before="60" w:after="200"/>
      </w:pPr>
    </w:p>
    <w:p w:rsidR="00467FC5" w:rsidRDefault="00467FC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3826"/>
        <w:gridCol w:w="2400"/>
      </w:tblGrid>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Scenario</w:t>
            </w:r>
          </w:p>
        </w:tc>
        <w:tc>
          <w:tcPr>
            <w:tcW w:w="38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Action</w:t>
            </w:r>
          </w:p>
        </w:t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Clinical Record Ent</w:t>
            </w:r>
            <w:r>
              <w:rPr>
                <w:b/>
                <w:bCs/>
                <w:color w:val="FFFFFF"/>
                <w:sz w:val="19"/>
                <w:szCs w:val="19"/>
              </w:rPr>
              <w:t>ry</w:t>
            </w:r>
          </w:p>
        </w:tc>
      </w:tr>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lastRenderedPageBreak/>
              <w:t>Video platform fails during or before the session</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Switch immediately to telephone. The Clinical Lead contacts the employee on the number provided. If telephone also fails, the appointment is rescheduled. No charge applies to a failed technical appointment.</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'Video platform failed at [time]; consultation co</w:t>
            </w:r>
            <w:r>
              <w:rPr>
                <w:sz w:val="19"/>
                <w:szCs w:val="19"/>
              </w:rPr>
              <w:t>ntinued via telephone' — or rescheduled with reason noted.</w:t>
            </w:r>
          </w:p>
        </w:tc>
      </w:tr>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Employee cannot connect via video</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Telephone backup is offered and used. The consultation proceeds and is clinically equivalent. No rescheduling required unless the employee is also unreachable by telephone.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'Audio-only consultation — employee unable to connect via video.'</w:t>
            </w:r>
          </w:p>
        </w:tc>
      </w:tr>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Employee no-show</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Clinical Lead waits 10 minutes and attempts to contact the employee by email. Handled per the Payment and Cancellation Policy.</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Date, time, platform, no-show noted. Invoice raised per policy.</w:t>
            </w:r>
          </w:p>
        </w:tc>
      </w:tr>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Safeguarding concern identified during session</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Standard safegua</w:t>
            </w:r>
            <w:r>
              <w:rPr>
                <w:sz w:val="19"/>
                <w:szCs w:val="19"/>
              </w:rPr>
              <w:t>rding procedure applies. Session may be paused or ended as clinically appropriate. Clinical Lead documents the concern and takes action per the Clinical Governance Policy. MPS contacted where appropriate.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Full contemporaneous note including nature of conce</w:t>
            </w:r>
            <w:r>
              <w:rPr>
                <w:sz w:val="19"/>
                <w:szCs w:val="19"/>
              </w:rPr>
              <w:t>rn, action taken, and time.</w:t>
            </w:r>
          </w:p>
        </w:tc>
      </w:tr>
      <w:tr w:rsidR="00467FC5">
        <w:tblPrEx>
          <w:tblCellMar>
            <w:top w:w="0" w:type="dxa"/>
            <w:bottom w:w="0" w:type="dxa"/>
          </w:tblCellMar>
        </w:tblPrEx>
        <w:tc>
          <w:tcPr>
            <w:tcW w:w="28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Clinical Lead technical failure or emergency</w:t>
            </w:r>
          </w:p>
        </w:tc>
        <w:tc>
          <w:tcPr>
            <w:tcW w:w="38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The employee is notified by email or phone as soon as possible. Appointment rescheduled at no additional charge.</w:t>
            </w:r>
          </w:p>
        </w:tc>
        <w:tc>
          <w:tcPr>
            <w:tcW w:w="24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Reason for cancellation noted in record.</w:t>
            </w:r>
          </w:p>
        </w:tc>
      </w:tr>
    </w:tbl>
    <w:p w:rsidR="00467FC5" w:rsidRDefault="00467FC5">
      <w:pPr>
        <w:spacing w:before="80"/>
      </w:pPr>
    </w:p>
    <w:p w:rsidR="00467FC5" w:rsidRDefault="002B6B23">
      <w:pPr>
        <w:spacing w:before="400" w:after="120"/>
      </w:pPr>
      <w:r>
        <w:rPr>
          <w:b/>
          <w:bCs/>
          <w:color w:val="1B3A6B"/>
          <w:sz w:val="28"/>
          <w:szCs w:val="28"/>
        </w:rPr>
        <w:t>8.  Governance and Compliance</w:t>
      </w:r>
    </w:p>
    <w:p w:rsidR="00467FC5" w:rsidRDefault="00467FC5">
      <w:pPr>
        <w:pBdr>
          <w:bottom w:val="single" w:sz="6" w:space="1" w:color="1B3A6B"/>
        </w:pBdr>
        <w:spacing w:before="60" w:after="200"/>
      </w:pPr>
    </w:p>
    <w:p w:rsidR="00467FC5" w:rsidRDefault="002B6B23">
      <w:pPr>
        <w:pStyle w:val="ListParagraph"/>
        <w:numPr>
          <w:ilvl w:val="0"/>
          <w:numId w:val="2"/>
        </w:numPr>
        <w:spacing w:before="40" w:after="40"/>
      </w:pPr>
      <w:r>
        <w:t>Platform security settings are reviewed whenever a material update to the platform is released, or at least annually.</w:t>
      </w:r>
    </w:p>
    <w:p w:rsidR="00467FC5" w:rsidRDefault="002B6B23">
      <w:pPr>
        <w:pStyle w:val="ListParagraph"/>
        <w:numPr>
          <w:ilvl w:val="0"/>
          <w:numId w:val="2"/>
        </w:numPr>
        <w:spacing w:before="40" w:after="40"/>
      </w:pPr>
      <w:r>
        <w:t>Remote consultation compliance is reviewed as part of the monthly 10% case note self-audit (Clinical Govern</w:t>
      </w:r>
      <w:r>
        <w:t>ance Policy), checking: platform used, identity verification documented, consent confirmed, no unauthorised recording.</w:t>
      </w:r>
    </w:p>
    <w:p w:rsidR="00467FC5" w:rsidRDefault="002B6B23">
      <w:pPr>
        <w:pStyle w:val="ListParagraph"/>
        <w:numPr>
          <w:ilvl w:val="0"/>
          <w:numId w:val="2"/>
        </w:numPr>
        <w:spacing w:before="40" w:after="40"/>
      </w:pPr>
      <w:r>
        <w:t>Annual CPD includes remote clinical practice and digital security awareness, evidenced in the Clinical Lead's CPD record.</w:t>
      </w:r>
    </w:p>
    <w:p w:rsidR="00467FC5" w:rsidRDefault="002B6B23">
      <w:pPr>
        <w:pStyle w:val="ListParagraph"/>
        <w:numPr>
          <w:ilvl w:val="0"/>
          <w:numId w:val="2"/>
        </w:numPr>
        <w:spacing w:before="40" w:after="40"/>
      </w:pPr>
      <w:r>
        <w:t>Any suspected breach of security or confidentiality arising from the remote consultation platform is treated as a data breach under the Confidentiality Policy (Section 9) and assessed for ICO notification.</w:t>
      </w:r>
    </w:p>
    <w:p w:rsidR="00467FC5" w:rsidRDefault="00467FC5">
      <w:pPr>
        <w:spacing w:before="80"/>
      </w:pPr>
    </w:p>
    <w:p w:rsidR="00467FC5" w:rsidRDefault="002B6B23">
      <w:pPr>
        <w:spacing w:before="400" w:after="120"/>
      </w:pPr>
      <w:r>
        <w:rPr>
          <w:b/>
          <w:bCs/>
          <w:color w:val="1B3A6B"/>
          <w:sz w:val="28"/>
          <w:szCs w:val="28"/>
        </w:rPr>
        <w:t>9.  Policy Review</w:t>
      </w:r>
    </w:p>
    <w:p w:rsidR="00467FC5" w:rsidRDefault="00467FC5">
      <w:pPr>
        <w:pBdr>
          <w:bottom w:val="single" w:sz="6" w:space="1" w:color="1B3A6B"/>
        </w:pBdr>
        <w:spacing w:before="60" w:after="200"/>
      </w:pPr>
    </w:p>
    <w:p w:rsidR="00467FC5" w:rsidRDefault="002B6B23">
      <w:pPr>
        <w:pStyle w:val="ListParagraph"/>
        <w:numPr>
          <w:ilvl w:val="0"/>
          <w:numId w:val="2"/>
        </w:numPr>
        <w:spacing w:before="40" w:after="40"/>
      </w:pPr>
      <w:r>
        <w:t>Formal annual review — next sc</w:t>
      </w:r>
      <w:r>
        <w:t>heduled: 13 June 2027.</w:t>
      </w:r>
    </w:p>
    <w:p w:rsidR="00467FC5" w:rsidRDefault="002B6B23">
      <w:pPr>
        <w:pStyle w:val="ListParagraph"/>
        <w:numPr>
          <w:ilvl w:val="0"/>
          <w:numId w:val="2"/>
        </w:numPr>
        <w:spacing w:before="40" w:after="40"/>
      </w:pPr>
      <w:r>
        <w:t>Ad-hoc review following: material changes to the approved platform's security capabilities or terms of service; any security incident involving the remote consultation platform; changes in relevant ICO or GMC guidance on remote clini</w:t>
      </w:r>
      <w:r>
        <w:t>cal practice.</w:t>
      </w:r>
    </w:p>
    <w:p w:rsidR="00467FC5" w:rsidRDefault="002B6B23">
      <w:pPr>
        <w:pStyle w:val="ListParagraph"/>
        <w:numPr>
          <w:ilvl w:val="0"/>
          <w:numId w:val="2"/>
        </w:numPr>
        <w:spacing w:before="40" w:after="40"/>
      </w:pPr>
      <w:r>
        <w:t>This policy is read in conjunction with the Confidentiality Policy, Consent Policy, Clinical Governance Policy, and Referral and Reporting Policy.</w:t>
      </w:r>
    </w:p>
    <w:p w:rsidR="00467FC5" w:rsidRDefault="00467FC5">
      <w:pPr>
        <w:spacing w:before="80"/>
      </w:pPr>
    </w:p>
    <w:p w:rsidR="00467FC5" w:rsidRDefault="002B6B23">
      <w:pPr>
        <w:spacing w:before="400" w:after="120"/>
      </w:pPr>
      <w:r>
        <w:rPr>
          <w:b/>
          <w:bCs/>
          <w:color w:val="1B3A6B"/>
          <w:sz w:val="28"/>
          <w:szCs w:val="28"/>
        </w:rPr>
        <w:lastRenderedPageBreak/>
        <w:t>10.  Version Control</w:t>
      </w:r>
    </w:p>
    <w:p w:rsidR="00467FC5" w:rsidRDefault="00467FC5">
      <w:pPr>
        <w:pBdr>
          <w:bottom w:val="single" w:sz="6" w:space="1" w:color="1B3A6B"/>
        </w:pBdr>
        <w:spacing w:before="60" w:after="200"/>
      </w:pPr>
    </w:p>
    <w:p w:rsidR="00467FC5" w:rsidRDefault="00467FC5">
      <w:pPr>
        <w:spacing w:before="6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2000"/>
        <w:gridCol w:w="3526"/>
        <w:gridCol w:w="2000"/>
      </w:tblGrid>
      <w:tr w:rsidR="00467FC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Version</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Date</w:t>
            </w:r>
          </w:p>
        </w:tc>
        <w:tc>
          <w:tcPr>
            <w:tcW w:w="3526"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Changes Made</w:t>
            </w:r>
          </w:p>
        </w:tc>
        <w:tc>
          <w:tcPr>
            <w:tcW w:w="2000" w:type="dxa"/>
            <w:tcBorders>
              <w:top w:val="single" w:sz="1" w:space="0" w:color="C5CEDE"/>
              <w:left w:val="single" w:sz="1" w:space="0" w:color="C5CEDE"/>
              <w:bottom w:val="single" w:sz="1" w:space="0" w:color="C5CEDE"/>
              <w:right w:val="single" w:sz="1" w:space="0" w:color="C5CEDE"/>
            </w:tcBorders>
            <w:shd w:val="clear" w:color="auto" w:fill="1B3A6B"/>
            <w:tcMar>
              <w:top w:w="120" w:type="dxa"/>
              <w:left w:w="160" w:type="dxa"/>
              <w:bottom w:w="120" w:type="dxa"/>
              <w:right w:w="160" w:type="dxa"/>
            </w:tcMar>
          </w:tcPr>
          <w:p w:rsidR="00467FC5" w:rsidRDefault="002B6B23">
            <w:r>
              <w:rPr>
                <w:b/>
                <w:bCs/>
                <w:color w:val="FFFFFF"/>
                <w:sz w:val="19"/>
                <w:szCs w:val="19"/>
              </w:rPr>
              <w:t>Approved By</w:t>
            </w:r>
          </w:p>
        </w:tc>
      </w:tr>
      <w:tr w:rsidR="00467FC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1.0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30/07/2025</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Initial policy draft.</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Dr. James Stanley</w:t>
            </w:r>
          </w:p>
        </w:tc>
      </w:tr>
      <w:tr w:rsidR="00467FC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2.0</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13/06/2026</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Comprehensive review: 'specialist' replaced with 'GP-led' throughout; NHSmail removed (HealthBridge does not have NHSmail); 'NHS Digital-approved devices'</w:t>
            </w:r>
            <w:r>
              <w:rPr>
                <w:sz w:val="19"/>
                <w:szCs w:val="19"/>
              </w:rPr>
              <w:t xml:space="preserve"> replaced with device encryption and security standards (NHS Digital no longer exists); photo ID requirement removed; NHS number reference removed from identity verification (not relevant to OH); FOM-certified training removed; quarterly GDPR breach drills</w:t>
            </w:r>
            <w:r>
              <w:rPr>
                <w:sz w:val="19"/>
                <w:szCs w:val="19"/>
              </w:rPr>
              <w:t xml:space="preserve"> removed (no staff); DPO alert removed (no separate DPO); CRM reference removed; employee pre-consultation checklist simplified to plain language (removed ≥10 Mbps / speedtest.net requirement); recording section strengthened — recording is now prohibited b</w:t>
            </w:r>
            <w:r>
              <w:rPr>
                <w:sz w:val="19"/>
                <w:szCs w:val="19"/>
              </w:rPr>
              <w:t xml:space="preserve">y default, disabled at platform level, not merely restricted to consented cases; Zoom removed from alternatives table (telephone is the appropriate backup, not a separate video platform); contingency table expanded and updated; safeguarding scenario added </w:t>
            </w:r>
            <w:r>
              <w:rPr>
                <w:sz w:val="19"/>
                <w:szCs w:val="19"/>
              </w:rPr>
              <w:t>to contingency table.</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Dr. James Stanley</w:t>
            </w:r>
          </w:p>
        </w:tc>
      </w:tr>
      <w:tr w:rsidR="00467FC5">
        <w:tblPrEx>
          <w:tblCellMar>
            <w:top w:w="0" w:type="dxa"/>
            <w:bottom w:w="0" w:type="dxa"/>
          </w:tblCellMar>
        </w:tblPrEx>
        <w:tc>
          <w:tcPr>
            <w:tcW w:w="15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2.1</w:t>
            </w:r>
          </w:p>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2B6B23">
            <w:r>
              <w:rPr>
                <w:sz w:val="19"/>
                <w:szCs w:val="19"/>
              </w:rPr>
              <w:t>[DD/MM/YYYY]</w:t>
            </w:r>
          </w:p>
        </w:tc>
        <w:tc>
          <w:tcPr>
            <w:tcW w:w="3526"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467FC5"/>
        </w:tc>
        <w:tc>
          <w:tcPr>
            <w:tcW w:w="2000" w:type="dxa"/>
            <w:tcBorders>
              <w:top w:val="single" w:sz="1" w:space="0" w:color="C5CEDE"/>
              <w:left w:val="single" w:sz="1" w:space="0" w:color="C5CEDE"/>
              <w:bottom w:val="single" w:sz="1" w:space="0" w:color="C5CEDE"/>
              <w:right w:val="single" w:sz="1" w:space="0" w:color="C5CEDE"/>
            </w:tcBorders>
            <w:shd w:val="clear" w:color="auto" w:fill="FFFFFF"/>
            <w:tcMar>
              <w:top w:w="100" w:type="dxa"/>
              <w:left w:w="160" w:type="dxa"/>
              <w:bottom w:w="100" w:type="dxa"/>
              <w:right w:w="160" w:type="dxa"/>
            </w:tcMar>
          </w:tcPr>
          <w:p w:rsidR="00467FC5" w:rsidRDefault="00467FC5"/>
        </w:tc>
      </w:tr>
    </w:tbl>
    <w:p w:rsidR="00467FC5" w:rsidRDefault="00467FC5">
      <w:pPr>
        <w:spacing w:before="160"/>
      </w:pPr>
    </w:p>
    <w:p w:rsidR="00467FC5" w:rsidRDefault="002B6B23">
      <w:pPr>
        <w:spacing w:before="60" w:after="100"/>
      </w:pPr>
      <w:r>
        <w:rPr>
          <w:b/>
          <w:bCs/>
          <w:color w:val="1A1A2E"/>
        </w:rPr>
        <w:t>Approved by: Dr. James Stanley, Clinical Lead</w:t>
      </w:r>
    </w:p>
    <w:p w:rsidR="00467FC5" w:rsidRDefault="002B6B23">
      <w:pPr>
        <w:spacing w:before="60" w:after="100"/>
      </w:pPr>
      <w:r>
        <w:rPr>
          <w:color w:val="1A1A2E"/>
        </w:rPr>
        <w:t>GMC Registration No: 7285162</w:t>
      </w:r>
    </w:p>
    <w:p w:rsidR="00467FC5" w:rsidRDefault="002B6B23">
      <w:pPr>
        <w:spacing w:before="60" w:after="100"/>
      </w:pPr>
      <w:r>
        <w:rPr>
          <w:color w:val="1A1A2E"/>
        </w:rPr>
        <w:t>Contact: contact@healthbridge.org.uk</w:t>
      </w:r>
    </w:p>
    <w:p w:rsidR="00467FC5" w:rsidRDefault="00467FC5">
      <w:pPr>
        <w:spacing w:before="60"/>
      </w:pPr>
    </w:p>
    <w:p w:rsidR="00467FC5" w:rsidRDefault="002B6B23">
      <w:pPr>
        <w:spacing w:before="60" w:after="100"/>
      </w:pPr>
      <w:r>
        <w:rPr>
          <w:i/>
          <w:iCs/>
          <w:color w:val="6B7280"/>
        </w:rPr>
        <w:t>HealthBridge Occupational Health Ltd  |  Company No: 16615396</w:t>
      </w:r>
    </w:p>
    <w:p w:rsidR="00467FC5" w:rsidRDefault="002B6B23">
      <w:pPr>
        <w:spacing w:before="60" w:after="100"/>
      </w:pPr>
      <w:r>
        <w:rPr>
          <w:i/>
          <w:iCs/>
          <w:color w:val="6B7280"/>
        </w:rPr>
        <w:t>Registered Address: 50 Hadow Way, Gloucester, GL2 4YJ</w:t>
      </w:r>
    </w:p>
    <w:p w:rsidR="00467FC5" w:rsidRDefault="002B6B23">
      <w:pPr>
        <w:spacing w:before="60" w:after="100"/>
      </w:pPr>
      <w:r>
        <w:rPr>
          <w:i/>
          <w:iCs/>
          <w:color w:val="6B7280"/>
        </w:rPr>
        <w:t>© HealthBridge Occupational Health Ltd. Unauthorised distribution prohibited.</w:t>
      </w:r>
    </w:p>
    <w:sectPr w:rsidR="00467FC5" w:rsidSect="00467FC5">
      <w:headerReference w:type="default" r:id="rId7"/>
      <w:footerReference w:type="default" r:id="rId8"/>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7FC5" w:rsidRDefault="00467FC5" w:rsidP="00467FC5">
      <w:r>
        <w:separator/>
      </w:r>
    </w:p>
  </w:endnote>
  <w:endnote w:type="continuationSeparator" w:id="0">
    <w:p w:rsidR="00467FC5" w:rsidRDefault="00467FC5" w:rsidP="00467FC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FC5" w:rsidRDefault="002B6B23">
    <w:pPr>
      <w:pBdr>
        <w:top w:val="single" w:sz="4" w:space="2" w:color="1B3A6B"/>
      </w:pBdr>
      <w:tabs>
        <w:tab w:val="right" w:pos="9026"/>
      </w:tabs>
      <w:spacing w:before="120"/>
    </w:pPr>
    <w:r>
      <w:rPr>
        <w:color w:val="6B7280"/>
        <w:sz w:val="16"/>
        <w:szCs w:val="16"/>
      </w:rPr>
      <w:t>HealthBridge Occupational Health Ltd  |  Co. No: 16615396  |  50 Hadow Way, Gloucester, GL2 4YJ</w:t>
    </w:r>
    <w:r>
      <w:rPr>
        <w:color w:val="6B7280"/>
        <w:sz w:val="16"/>
        <w:szCs w:val="16"/>
      </w:rPr>
      <w:tab/>
      <w:t xml:space="preserve">Page </w:t>
    </w:r>
    <w:r w:rsidR="00467FC5">
      <w:rPr>
        <w:color w:val="6B7280"/>
        <w:sz w:val="16"/>
        <w:szCs w:val="16"/>
      </w:rPr>
      <w:fldChar w:fldCharType="begin"/>
    </w:r>
    <w:r>
      <w:rPr>
        <w:color w:val="6B7280"/>
        <w:sz w:val="16"/>
        <w:szCs w:val="16"/>
      </w:rPr>
      <w:instrText>PAGE</w:instrText>
    </w:r>
    <w:r w:rsidR="00F206F1">
      <w:rPr>
        <w:color w:val="6B7280"/>
        <w:sz w:val="16"/>
        <w:szCs w:val="16"/>
      </w:rPr>
      <w:fldChar w:fldCharType="separate"/>
    </w:r>
    <w:r w:rsidR="00F206F1">
      <w:rPr>
        <w:noProof/>
        <w:color w:val="6B7280"/>
        <w:sz w:val="16"/>
        <w:szCs w:val="16"/>
      </w:rPr>
      <w:t>6</w:t>
    </w:r>
    <w:r w:rsidR="00467FC5">
      <w:rPr>
        <w:color w:val="6B7280"/>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7FC5" w:rsidRDefault="00467FC5" w:rsidP="00467FC5">
      <w:r>
        <w:separator/>
      </w:r>
    </w:p>
  </w:footnote>
  <w:footnote w:type="continuationSeparator" w:id="0">
    <w:p w:rsidR="00467FC5" w:rsidRDefault="00467FC5" w:rsidP="00467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FC5" w:rsidRDefault="002B6B23">
    <w:pPr>
      <w:tabs>
        <w:tab w:val="right" w:pos="9026"/>
      </w:tabs>
      <w:spacing w:after="100"/>
    </w:pPr>
    <w:r>
      <w:rPr>
        <w:color w:val="6B7280"/>
        <w:sz w:val="16"/>
        <w:szCs w:val="16"/>
      </w:rPr>
      <w:t>Version 2.0  |  Effective: 13/06/2026  |  Owner: Dr. James</w:t>
    </w:r>
    <w:r>
      <w:rPr>
        <w:color w:val="6B7280"/>
        <w:sz w:val="16"/>
        <w:szCs w:val="16"/>
      </w:rPr>
      <w:t xml:space="preserve"> Stanley  |  GMC: 7285162</w:t>
    </w:r>
    <w:r>
      <w:rPr>
        <w:color w:val="6B7280"/>
        <w:sz w:val="16"/>
        <w:szCs w:val="16"/>
      </w:rPr>
      <w:tab/>
      <w:t>Next Review: 13/06/2027</w:t>
    </w:r>
  </w:p>
  <w:p w:rsidR="00467FC5" w:rsidRDefault="00467FC5">
    <w:pPr>
      <w:pBdr>
        <w:bottom w:val="single" w:sz="6"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82DE8"/>
    <w:multiLevelType w:val="hybridMultilevel"/>
    <w:tmpl w:val="994CA5D2"/>
    <w:lvl w:ilvl="0" w:tplc="EE8AA1CA">
      <w:start w:val="1"/>
      <w:numFmt w:val="bullet"/>
      <w:lvlText w:val="•"/>
      <w:lvlJc w:val="left"/>
      <w:pPr>
        <w:ind w:left="540" w:hanging="360"/>
      </w:pPr>
    </w:lvl>
    <w:lvl w:ilvl="1" w:tplc="2DC65990">
      <w:numFmt w:val="decimal"/>
      <w:lvlText w:val=""/>
      <w:lvlJc w:val="left"/>
    </w:lvl>
    <w:lvl w:ilvl="2" w:tplc="3F04F2C6">
      <w:numFmt w:val="decimal"/>
      <w:lvlText w:val=""/>
      <w:lvlJc w:val="left"/>
    </w:lvl>
    <w:lvl w:ilvl="3" w:tplc="53985E60">
      <w:numFmt w:val="decimal"/>
      <w:lvlText w:val=""/>
      <w:lvlJc w:val="left"/>
    </w:lvl>
    <w:lvl w:ilvl="4" w:tplc="FF227B6A">
      <w:numFmt w:val="decimal"/>
      <w:lvlText w:val=""/>
      <w:lvlJc w:val="left"/>
    </w:lvl>
    <w:lvl w:ilvl="5" w:tplc="01FA192E">
      <w:numFmt w:val="decimal"/>
      <w:lvlText w:val=""/>
      <w:lvlJc w:val="left"/>
    </w:lvl>
    <w:lvl w:ilvl="6" w:tplc="38243AA6">
      <w:numFmt w:val="decimal"/>
      <w:lvlText w:val=""/>
      <w:lvlJc w:val="left"/>
    </w:lvl>
    <w:lvl w:ilvl="7" w:tplc="596E30AC">
      <w:numFmt w:val="decimal"/>
      <w:lvlText w:val=""/>
      <w:lvlJc w:val="left"/>
    </w:lvl>
    <w:lvl w:ilvl="8" w:tplc="88DE3078">
      <w:numFmt w:val="decimal"/>
      <w:lvlText w:val=""/>
      <w:lvlJc w:val="left"/>
    </w:lvl>
  </w:abstractNum>
  <w:abstractNum w:abstractNumId="1">
    <w:nsid w:val="4F49646F"/>
    <w:multiLevelType w:val="hybridMultilevel"/>
    <w:tmpl w:val="B3A2C4C0"/>
    <w:lvl w:ilvl="0" w:tplc="8C2C00D8">
      <w:start w:val="1"/>
      <w:numFmt w:val="bullet"/>
      <w:lvlText w:val="●"/>
      <w:lvlJc w:val="left"/>
      <w:pPr>
        <w:ind w:left="720" w:hanging="360"/>
      </w:pPr>
    </w:lvl>
    <w:lvl w:ilvl="1" w:tplc="A3E03EF6">
      <w:start w:val="1"/>
      <w:numFmt w:val="bullet"/>
      <w:lvlText w:val="○"/>
      <w:lvlJc w:val="left"/>
      <w:pPr>
        <w:ind w:left="1440" w:hanging="360"/>
      </w:pPr>
    </w:lvl>
    <w:lvl w:ilvl="2" w:tplc="B16E5F34">
      <w:start w:val="1"/>
      <w:numFmt w:val="bullet"/>
      <w:lvlText w:val="■"/>
      <w:lvlJc w:val="left"/>
      <w:pPr>
        <w:ind w:left="2160" w:hanging="360"/>
      </w:pPr>
    </w:lvl>
    <w:lvl w:ilvl="3" w:tplc="C3149056">
      <w:start w:val="1"/>
      <w:numFmt w:val="bullet"/>
      <w:lvlText w:val="●"/>
      <w:lvlJc w:val="left"/>
      <w:pPr>
        <w:ind w:left="2880" w:hanging="360"/>
      </w:pPr>
    </w:lvl>
    <w:lvl w:ilvl="4" w:tplc="B4AC9C74">
      <w:start w:val="1"/>
      <w:numFmt w:val="bullet"/>
      <w:lvlText w:val="○"/>
      <w:lvlJc w:val="left"/>
      <w:pPr>
        <w:ind w:left="3600" w:hanging="360"/>
      </w:pPr>
    </w:lvl>
    <w:lvl w:ilvl="5" w:tplc="7B6A2340">
      <w:start w:val="1"/>
      <w:numFmt w:val="bullet"/>
      <w:lvlText w:val="■"/>
      <w:lvlJc w:val="left"/>
      <w:pPr>
        <w:ind w:left="4320" w:hanging="360"/>
      </w:pPr>
    </w:lvl>
    <w:lvl w:ilvl="6" w:tplc="C3702D86">
      <w:start w:val="1"/>
      <w:numFmt w:val="bullet"/>
      <w:lvlText w:val="●"/>
      <w:lvlJc w:val="left"/>
      <w:pPr>
        <w:ind w:left="5040" w:hanging="360"/>
      </w:pPr>
    </w:lvl>
    <w:lvl w:ilvl="7" w:tplc="B532BBBC">
      <w:start w:val="1"/>
      <w:numFmt w:val="bullet"/>
      <w:lvlText w:val="●"/>
      <w:lvlJc w:val="left"/>
      <w:pPr>
        <w:ind w:left="5760" w:hanging="360"/>
      </w:pPr>
    </w:lvl>
    <w:lvl w:ilvl="8" w:tplc="C714C28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1"/>
    <w:footnote w:id="0"/>
  </w:footnotePr>
  <w:endnotePr>
    <w:endnote w:id="-1"/>
    <w:endnote w:id="0"/>
  </w:endnotePr>
  <w:compat/>
  <w:rsids>
    <w:rsidRoot w:val="00467FC5"/>
    <w:rsid w:val="002B6B23"/>
    <w:rsid w:val="00467FC5"/>
    <w:rsid w:val="00F206F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467FC5"/>
    <w:pPr>
      <w:outlineLvl w:val="0"/>
    </w:pPr>
    <w:rPr>
      <w:color w:val="2E74B5"/>
      <w:sz w:val="32"/>
      <w:szCs w:val="32"/>
    </w:rPr>
  </w:style>
  <w:style w:type="paragraph" w:styleId="Heading2">
    <w:name w:val="heading 2"/>
    <w:qFormat/>
    <w:rsid w:val="00467FC5"/>
    <w:pPr>
      <w:outlineLvl w:val="1"/>
    </w:pPr>
    <w:rPr>
      <w:color w:val="2E74B5"/>
      <w:sz w:val="26"/>
      <w:szCs w:val="26"/>
    </w:rPr>
  </w:style>
  <w:style w:type="paragraph" w:styleId="Heading3">
    <w:name w:val="heading 3"/>
    <w:qFormat/>
    <w:rsid w:val="00467FC5"/>
    <w:pPr>
      <w:outlineLvl w:val="2"/>
    </w:pPr>
    <w:rPr>
      <w:color w:val="1F4D78"/>
      <w:sz w:val="24"/>
      <w:szCs w:val="24"/>
    </w:rPr>
  </w:style>
  <w:style w:type="paragraph" w:styleId="Heading4">
    <w:name w:val="heading 4"/>
    <w:qFormat/>
    <w:rsid w:val="00467FC5"/>
    <w:pPr>
      <w:outlineLvl w:val="3"/>
    </w:pPr>
    <w:rPr>
      <w:i/>
      <w:iCs/>
      <w:color w:val="2E74B5"/>
    </w:rPr>
  </w:style>
  <w:style w:type="paragraph" w:styleId="Heading5">
    <w:name w:val="heading 5"/>
    <w:qFormat/>
    <w:rsid w:val="00467FC5"/>
    <w:pPr>
      <w:outlineLvl w:val="4"/>
    </w:pPr>
    <w:rPr>
      <w:color w:val="2E74B5"/>
    </w:rPr>
  </w:style>
  <w:style w:type="paragraph" w:styleId="Heading6">
    <w:name w:val="heading 6"/>
    <w:qFormat/>
    <w:rsid w:val="00467FC5"/>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467FC5"/>
    <w:rPr>
      <w:sz w:val="56"/>
      <w:szCs w:val="56"/>
    </w:rPr>
  </w:style>
  <w:style w:type="paragraph" w:customStyle="1" w:styleId="Strong1">
    <w:name w:val="Strong1"/>
    <w:qFormat/>
    <w:rsid w:val="00467FC5"/>
    <w:rPr>
      <w:b/>
      <w:bCs/>
    </w:rPr>
  </w:style>
  <w:style w:type="paragraph" w:styleId="ListParagraph">
    <w:name w:val="List Paragraph"/>
    <w:qFormat/>
    <w:rsid w:val="00467FC5"/>
  </w:style>
  <w:style w:type="character" w:styleId="Hyperlink">
    <w:name w:val="Hyperlink"/>
    <w:uiPriority w:val="99"/>
    <w:unhideWhenUsed/>
    <w:rsid w:val="00467FC5"/>
    <w:rPr>
      <w:color w:val="0563C1"/>
      <w:u w:val="single"/>
    </w:rPr>
  </w:style>
  <w:style w:type="character" w:styleId="FootnoteReference">
    <w:name w:val="footnote reference"/>
    <w:uiPriority w:val="99"/>
    <w:semiHidden/>
    <w:unhideWhenUsed/>
    <w:rsid w:val="00467FC5"/>
    <w:rPr>
      <w:vertAlign w:val="superscript"/>
    </w:rPr>
  </w:style>
  <w:style w:type="paragraph" w:styleId="FootnoteText">
    <w:name w:val="footnote text"/>
    <w:link w:val="FootnoteTextChar"/>
    <w:uiPriority w:val="99"/>
    <w:semiHidden/>
    <w:unhideWhenUsed/>
    <w:rsid w:val="00467FC5"/>
  </w:style>
  <w:style w:type="character" w:customStyle="1" w:styleId="FootnoteTextChar">
    <w:name w:val="Footnote Text Char"/>
    <w:link w:val="FootnoteText"/>
    <w:uiPriority w:val="99"/>
    <w:semiHidden/>
    <w:unhideWhenUsed/>
    <w:rsid w:val="00467FC5"/>
    <w:rPr>
      <w:sz w:val="20"/>
      <w:szCs w:val="20"/>
    </w:rPr>
  </w:style>
  <w:style w:type="character" w:styleId="EndnoteReference">
    <w:name w:val="endnote reference"/>
    <w:uiPriority w:val="99"/>
    <w:semiHidden/>
    <w:unhideWhenUsed/>
    <w:rsid w:val="00467FC5"/>
    <w:rPr>
      <w:vertAlign w:val="superscript"/>
    </w:rPr>
  </w:style>
  <w:style w:type="paragraph" w:styleId="EndnoteText">
    <w:name w:val="endnote text"/>
    <w:link w:val="EndnoteTextChar"/>
    <w:uiPriority w:val="99"/>
    <w:semiHidden/>
    <w:unhideWhenUsed/>
    <w:rsid w:val="00467FC5"/>
  </w:style>
  <w:style w:type="character" w:customStyle="1" w:styleId="EndnoteTextChar">
    <w:name w:val="Endnote Text Char"/>
    <w:link w:val="EndnoteText"/>
    <w:uiPriority w:val="99"/>
    <w:semiHidden/>
    <w:unhideWhenUsed/>
    <w:rsid w:val="00467FC5"/>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1983</Words>
  <Characters>11307</Characters>
  <Application>Microsoft Office Word</Application>
  <DocSecurity>0</DocSecurity>
  <Lines>94</Lines>
  <Paragraphs>26</Paragraphs>
  <ScaleCrop>false</ScaleCrop>
  <Company>Grizli777</Company>
  <LinksUpToDate>false</LinksUpToDate>
  <CharactersWithSpaces>13264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2026-06-17T11:28:00Z</dcterms:created>
  <dcterms:modified xsi:type="dcterms:W3CDTF">2026-06-17T11:28:00Z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